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C3D" w:rsidRDefault="00852C3D" w:rsidP="00BF461C">
      <w:pPr>
        <w:ind w:right="5678"/>
        <w:jc w:val="center"/>
        <w:rPr>
          <w:rFonts w:ascii="Verdana" w:hAnsi="Verdana"/>
          <w:sz w:val="16"/>
        </w:rPr>
      </w:pPr>
      <w:bookmarkStart w:id="0" w:name="_GoBack"/>
      <w:bookmarkEnd w:id="0"/>
    </w:p>
    <w:p w:rsidR="00852C3D" w:rsidRDefault="00852C3D" w:rsidP="00BF461C">
      <w:pPr>
        <w:ind w:right="5678"/>
        <w:jc w:val="center"/>
        <w:rPr>
          <w:rFonts w:ascii="Verdana" w:hAnsi="Verdana"/>
          <w:sz w:val="16"/>
        </w:rPr>
      </w:pPr>
    </w:p>
    <w:p w:rsidR="00A72D03" w:rsidRPr="00542B09" w:rsidRDefault="00A72D03" w:rsidP="00A72D03">
      <w:pPr>
        <w:jc w:val="center"/>
        <w:rPr>
          <w:rFonts w:ascii="Comic Sans MS" w:hAnsi="Comic Sans MS" w:cs="Arial"/>
          <w:b/>
          <w:noProof/>
          <w:u w:val="single"/>
        </w:rPr>
      </w:pPr>
      <w:r w:rsidRPr="00542B09">
        <w:rPr>
          <w:rFonts w:ascii="Comic Sans MS" w:hAnsi="Comic Sans MS" w:cs="Arial"/>
          <w:b/>
          <w:noProof/>
          <w:u w:val="single"/>
        </w:rPr>
        <w:t>Organo di revisione del Comune di Firenze</w:t>
      </w:r>
    </w:p>
    <w:p w:rsidR="00A72D03" w:rsidRPr="00542B09" w:rsidRDefault="00A72D03" w:rsidP="00A72D03">
      <w:pPr>
        <w:jc w:val="center"/>
        <w:rPr>
          <w:rFonts w:ascii="Comic Sans MS" w:hAnsi="Comic Sans MS"/>
          <w:noProof/>
          <w:color w:val="0000FF"/>
        </w:rPr>
      </w:pPr>
    </w:p>
    <w:p w:rsidR="00196DEB" w:rsidRPr="00542B09" w:rsidRDefault="00196DEB" w:rsidP="00196DEB">
      <w:pPr>
        <w:autoSpaceDE w:val="0"/>
        <w:autoSpaceDN w:val="0"/>
        <w:adjustRightInd w:val="0"/>
        <w:spacing w:line="360" w:lineRule="auto"/>
        <w:jc w:val="both"/>
        <w:rPr>
          <w:rFonts w:ascii="Comic Sans MS" w:hAnsi="Comic Sans MS" w:cs="Arial"/>
          <w:b/>
        </w:rPr>
      </w:pPr>
      <w:r w:rsidRPr="00542B09">
        <w:rPr>
          <w:rFonts w:ascii="Comic Sans MS" w:hAnsi="Comic Sans MS" w:cs="Arial"/>
          <w:b/>
        </w:rPr>
        <w:t>Oggetto:  Parere su salvaguardia degli equilibri di bilancio e assestamento generale</w:t>
      </w:r>
    </w:p>
    <w:p w:rsidR="00196DEB" w:rsidRPr="00542B09" w:rsidRDefault="00196DEB" w:rsidP="00196DEB">
      <w:pPr>
        <w:autoSpaceDE w:val="0"/>
        <w:autoSpaceDN w:val="0"/>
        <w:adjustRightInd w:val="0"/>
        <w:spacing w:line="360" w:lineRule="auto"/>
        <w:jc w:val="both"/>
        <w:rPr>
          <w:rFonts w:ascii="Comic Sans MS" w:hAnsi="Comic Sans MS" w:cs="Arial"/>
        </w:rPr>
      </w:pPr>
    </w:p>
    <w:p w:rsidR="00196DEB" w:rsidRPr="00542B09" w:rsidRDefault="00196DEB" w:rsidP="00196DEB">
      <w:pPr>
        <w:pBdr>
          <w:top w:val="single" w:sz="4" w:space="1" w:color="auto"/>
          <w:left w:val="single" w:sz="4" w:space="4" w:color="auto"/>
          <w:bottom w:val="single" w:sz="4" w:space="1" w:color="auto"/>
          <w:right w:val="single" w:sz="4" w:space="4" w:color="auto"/>
        </w:pBdr>
        <w:shd w:val="clear" w:color="auto" w:fill="DAEEF3"/>
        <w:autoSpaceDE w:val="0"/>
        <w:autoSpaceDN w:val="0"/>
        <w:adjustRightInd w:val="0"/>
        <w:spacing w:line="360" w:lineRule="auto"/>
        <w:jc w:val="center"/>
        <w:rPr>
          <w:rFonts w:ascii="Comic Sans MS" w:hAnsi="Comic Sans MS" w:cs="Arial"/>
          <w:b/>
        </w:rPr>
      </w:pPr>
      <w:r w:rsidRPr="00542B09">
        <w:rPr>
          <w:rFonts w:ascii="Comic Sans MS" w:hAnsi="Comic Sans MS" w:cs="Arial"/>
          <w:b/>
        </w:rPr>
        <w:t>PREMESSA</w:t>
      </w:r>
    </w:p>
    <w:p w:rsidR="00196DEB" w:rsidRPr="00542B09" w:rsidRDefault="00196DEB" w:rsidP="00196DEB">
      <w:pPr>
        <w:autoSpaceDE w:val="0"/>
        <w:autoSpaceDN w:val="0"/>
        <w:adjustRightInd w:val="0"/>
        <w:spacing w:line="360" w:lineRule="auto"/>
        <w:jc w:val="both"/>
        <w:rPr>
          <w:rFonts w:ascii="Comic Sans MS" w:hAnsi="Comic Sans MS" w:cs="Arial"/>
        </w:rPr>
      </w:pPr>
    </w:p>
    <w:p w:rsidR="00196DEB" w:rsidRPr="00542B09" w:rsidRDefault="00196DEB" w:rsidP="00196DEB">
      <w:pPr>
        <w:autoSpaceDE w:val="0"/>
        <w:autoSpaceDN w:val="0"/>
        <w:adjustRightInd w:val="0"/>
        <w:spacing w:line="360" w:lineRule="auto"/>
        <w:jc w:val="both"/>
        <w:rPr>
          <w:rFonts w:ascii="Comic Sans MS" w:hAnsi="Comic Sans MS" w:cs="Arial"/>
        </w:rPr>
      </w:pPr>
      <w:r w:rsidRPr="00542B09">
        <w:rPr>
          <w:rFonts w:ascii="Comic Sans MS" w:hAnsi="Comic Sans MS" w:cs="Arial"/>
        </w:rPr>
        <w:t xml:space="preserve">In data 23 marzo 2016 il Consiglio Comunale ha approvato il bilancio di previsione 2016-2018 </w:t>
      </w:r>
    </w:p>
    <w:p w:rsidR="00196DEB" w:rsidRPr="00542B09" w:rsidRDefault="00196DEB" w:rsidP="00196DEB">
      <w:pPr>
        <w:autoSpaceDE w:val="0"/>
        <w:autoSpaceDN w:val="0"/>
        <w:adjustRightInd w:val="0"/>
        <w:spacing w:line="360" w:lineRule="auto"/>
        <w:jc w:val="both"/>
        <w:rPr>
          <w:rFonts w:ascii="Comic Sans MS" w:hAnsi="Comic Sans MS" w:cs="Arial"/>
        </w:rPr>
      </w:pPr>
      <w:r w:rsidRPr="00542B09">
        <w:rPr>
          <w:rFonts w:ascii="Comic Sans MS" w:hAnsi="Comic Sans MS" w:cs="Arial"/>
        </w:rPr>
        <w:t>In data 26 aprile 2016 la Giunta ha approvato il Piano Esecutivo di Gestione 2016-2018</w:t>
      </w:r>
    </w:p>
    <w:p w:rsidR="00196DEB" w:rsidRPr="00542B09" w:rsidRDefault="00196DEB" w:rsidP="00196DEB">
      <w:pPr>
        <w:autoSpaceDE w:val="0"/>
        <w:autoSpaceDN w:val="0"/>
        <w:adjustRightInd w:val="0"/>
        <w:spacing w:line="360" w:lineRule="auto"/>
        <w:jc w:val="both"/>
        <w:rPr>
          <w:rFonts w:ascii="Comic Sans MS" w:hAnsi="Comic Sans MS" w:cs="Arial"/>
        </w:rPr>
      </w:pPr>
      <w:r w:rsidRPr="00542B09">
        <w:rPr>
          <w:rFonts w:ascii="Comic Sans MS" w:hAnsi="Comic Sans MS" w:cs="Arial"/>
        </w:rPr>
        <w:t>Dopo l’approvazione del rendiconto la Giunta, in data 27 maggio 2016, ha approvato una variazione di bilancio d’urgenza, ratificata dal Consiglio Comunale in data 4 luglio 2016</w:t>
      </w:r>
    </w:p>
    <w:p w:rsidR="00196DEB" w:rsidRPr="00542B09" w:rsidRDefault="00196DEB" w:rsidP="00196DEB">
      <w:pPr>
        <w:autoSpaceDE w:val="0"/>
        <w:autoSpaceDN w:val="0"/>
        <w:adjustRightInd w:val="0"/>
        <w:spacing w:line="360" w:lineRule="auto"/>
        <w:jc w:val="both"/>
        <w:rPr>
          <w:rFonts w:ascii="Comic Sans MS" w:hAnsi="Comic Sans MS" w:cs="Arial"/>
        </w:rPr>
      </w:pPr>
    </w:p>
    <w:p w:rsidR="00196DEB" w:rsidRPr="00542B09" w:rsidRDefault="00196DEB" w:rsidP="00196DEB">
      <w:pPr>
        <w:autoSpaceDE w:val="0"/>
        <w:autoSpaceDN w:val="0"/>
        <w:adjustRightInd w:val="0"/>
        <w:spacing w:line="360" w:lineRule="auto"/>
        <w:jc w:val="both"/>
        <w:rPr>
          <w:rFonts w:ascii="Comic Sans MS" w:hAnsi="Comic Sans MS" w:cs="Arial"/>
        </w:rPr>
      </w:pPr>
      <w:r w:rsidRPr="00542B09">
        <w:rPr>
          <w:rFonts w:ascii="Comic Sans MS" w:hAnsi="Comic Sans MS" w:cs="Arial"/>
        </w:rPr>
        <w:t>In data 08/07/2016 è stata sottoposta al Collegio dei Revisori, per la successiva presentazione al Consiglio Comunale, nella prima seduta utile, la proposta di deliberazione e la documentazione necessaria all’esame dell’argomento di cui all’oggetto.</w:t>
      </w:r>
    </w:p>
    <w:p w:rsidR="00196DEB" w:rsidRPr="00542B09" w:rsidRDefault="00196DEB" w:rsidP="00196DEB">
      <w:pPr>
        <w:autoSpaceDE w:val="0"/>
        <w:autoSpaceDN w:val="0"/>
        <w:adjustRightInd w:val="0"/>
        <w:spacing w:line="360" w:lineRule="auto"/>
        <w:jc w:val="both"/>
        <w:rPr>
          <w:rFonts w:ascii="Comic Sans MS" w:hAnsi="Comic Sans MS" w:cs="Arial"/>
        </w:rPr>
      </w:pPr>
    </w:p>
    <w:p w:rsidR="00196DEB" w:rsidRPr="00542B09" w:rsidRDefault="00196DEB" w:rsidP="00196DEB">
      <w:pPr>
        <w:autoSpaceDE w:val="0"/>
        <w:autoSpaceDN w:val="0"/>
        <w:adjustRightInd w:val="0"/>
        <w:spacing w:line="360" w:lineRule="auto"/>
        <w:jc w:val="both"/>
        <w:rPr>
          <w:rFonts w:ascii="Comic Sans MS" w:hAnsi="Comic Sans MS" w:cs="Arial"/>
        </w:rPr>
      </w:pPr>
    </w:p>
    <w:p w:rsidR="00196DEB" w:rsidRPr="00542B09" w:rsidRDefault="00196DEB" w:rsidP="00196DEB">
      <w:pPr>
        <w:pBdr>
          <w:top w:val="single" w:sz="4" w:space="1" w:color="auto"/>
          <w:left w:val="single" w:sz="4" w:space="4" w:color="auto"/>
          <w:bottom w:val="single" w:sz="4" w:space="1" w:color="auto"/>
          <w:right w:val="single" w:sz="4" w:space="4" w:color="auto"/>
        </w:pBdr>
        <w:shd w:val="clear" w:color="auto" w:fill="DAEEF3"/>
        <w:autoSpaceDE w:val="0"/>
        <w:autoSpaceDN w:val="0"/>
        <w:adjustRightInd w:val="0"/>
        <w:spacing w:line="360" w:lineRule="auto"/>
        <w:jc w:val="center"/>
        <w:rPr>
          <w:rFonts w:ascii="Comic Sans MS" w:hAnsi="Comic Sans MS" w:cs="Arial"/>
          <w:b/>
        </w:rPr>
      </w:pPr>
      <w:r w:rsidRPr="00542B09">
        <w:rPr>
          <w:rFonts w:ascii="Comic Sans MS" w:hAnsi="Comic Sans MS" w:cs="Arial"/>
          <w:b/>
        </w:rPr>
        <w:t>NORMATIVA DI RIFERIMENTO</w:t>
      </w:r>
    </w:p>
    <w:p w:rsidR="00196DEB" w:rsidRPr="00542B09" w:rsidRDefault="00196DEB" w:rsidP="00196DEB">
      <w:pPr>
        <w:autoSpaceDE w:val="0"/>
        <w:autoSpaceDN w:val="0"/>
        <w:adjustRightInd w:val="0"/>
        <w:spacing w:line="360" w:lineRule="auto"/>
        <w:jc w:val="both"/>
        <w:rPr>
          <w:rFonts w:ascii="Comic Sans MS" w:hAnsi="Comic Sans MS" w:cs="Arial"/>
        </w:rPr>
      </w:pPr>
    </w:p>
    <w:p w:rsidR="00196DEB" w:rsidRPr="00542B09" w:rsidRDefault="00196DEB" w:rsidP="00196DEB">
      <w:pPr>
        <w:autoSpaceDE w:val="0"/>
        <w:autoSpaceDN w:val="0"/>
        <w:adjustRightInd w:val="0"/>
        <w:spacing w:line="360" w:lineRule="auto"/>
        <w:jc w:val="both"/>
        <w:rPr>
          <w:rFonts w:ascii="Comic Sans MS" w:hAnsi="Comic Sans MS" w:cs="Arial"/>
        </w:rPr>
      </w:pPr>
      <w:r w:rsidRPr="00542B09">
        <w:rPr>
          <w:rFonts w:ascii="Comic Sans MS" w:hAnsi="Comic Sans MS" w:cs="Arial"/>
        </w:rPr>
        <w:t xml:space="preserve">L’articolo </w:t>
      </w:r>
      <w:r w:rsidRPr="00542B09">
        <w:rPr>
          <w:rFonts w:ascii="Comic Sans MS" w:hAnsi="Comic Sans MS" w:cs="Arial"/>
          <w:b/>
        </w:rPr>
        <w:t>193 del TUEL</w:t>
      </w:r>
      <w:r w:rsidRPr="00542B09">
        <w:rPr>
          <w:rFonts w:ascii="Comic Sans MS" w:hAnsi="Comic Sans MS" w:cs="Arial"/>
        </w:rPr>
        <w:t xml:space="preserve"> prevede che: </w:t>
      </w:r>
    </w:p>
    <w:p w:rsidR="00196DEB" w:rsidRPr="00542B09" w:rsidRDefault="00196DEB" w:rsidP="00196DEB">
      <w:pPr>
        <w:autoSpaceDE w:val="0"/>
        <w:autoSpaceDN w:val="0"/>
        <w:adjustRightInd w:val="0"/>
        <w:spacing w:line="360" w:lineRule="auto"/>
        <w:jc w:val="both"/>
        <w:rPr>
          <w:rFonts w:ascii="Comic Sans MS" w:hAnsi="Comic Sans MS" w:cs="Arial"/>
          <w:i/>
        </w:rPr>
      </w:pPr>
      <w:r w:rsidRPr="00542B09">
        <w:rPr>
          <w:rFonts w:ascii="Comic Sans MS" w:hAnsi="Comic Sans MS" w:cs="Arial"/>
        </w:rPr>
        <w:t>“</w:t>
      </w:r>
      <w:r w:rsidRPr="00542B09">
        <w:rPr>
          <w:rFonts w:ascii="Comic Sans MS" w:hAnsi="Comic Sans MS" w:cs="Arial"/>
          <w:i/>
        </w:rPr>
        <w:t xml:space="preserve">1. Gli enti locali rispettano durante la gestione e nelle variazioni di bilancio il pareggio finanziario e tutti gli equilibri stabiliti in bilancio per la copertura delle spese correnti e per il finanziamento degli investimenti, secondo le norme contabili recate dal </w:t>
      </w:r>
      <w:r w:rsidRPr="00542B09">
        <w:rPr>
          <w:rFonts w:ascii="Comic Sans MS" w:hAnsi="Comic Sans MS" w:cs="Arial"/>
          <w:i/>
        </w:rPr>
        <w:lastRenderedPageBreak/>
        <w:t>presente testo unico, con particolare riferimento agli equilibri di competenza e di cassa di cui all'art. 162, comma 6.</w:t>
      </w:r>
    </w:p>
    <w:p w:rsidR="00196DEB" w:rsidRPr="00542B09" w:rsidRDefault="00196DEB" w:rsidP="00196DEB">
      <w:pPr>
        <w:autoSpaceDE w:val="0"/>
        <w:autoSpaceDN w:val="0"/>
        <w:adjustRightInd w:val="0"/>
        <w:spacing w:line="360" w:lineRule="auto"/>
        <w:jc w:val="both"/>
        <w:rPr>
          <w:rFonts w:ascii="Comic Sans MS" w:hAnsi="Comic Sans MS" w:cs="Arial"/>
          <w:i/>
        </w:rPr>
      </w:pPr>
      <w:r w:rsidRPr="00542B09">
        <w:rPr>
          <w:rFonts w:ascii="Comic Sans MS" w:hAnsi="Comic Sans MS" w:cs="Arial"/>
          <w:i/>
        </w:rPr>
        <w:t xml:space="preserve">2. Con periodicità stabilita dal regolamento di contabilità dell'ente locale, e comunque almeno una volta entro il </w:t>
      </w:r>
      <w:r w:rsidRPr="00542B09">
        <w:rPr>
          <w:rFonts w:ascii="Comic Sans MS" w:hAnsi="Comic Sans MS" w:cs="Arial"/>
          <w:b/>
          <w:i/>
        </w:rPr>
        <w:t>31 luglio di ciascun anno</w:t>
      </w:r>
      <w:r w:rsidRPr="00542B09">
        <w:rPr>
          <w:rFonts w:ascii="Comic Sans MS" w:hAnsi="Comic Sans MS" w:cs="Arial"/>
          <w:i/>
        </w:rPr>
        <w:t>, l'organo consiliare provvede con delibera a dare atto del permanere degli equilibri generali di bilancio o, in caso di accertamento negativo ad adottare, contestualmente:</w:t>
      </w:r>
    </w:p>
    <w:p w:rsidR="00196DEB" w:rsidRPr="00542B09" w:rsidRDefault="00196DEB" w:rsidP="00196DEB">
      <w:pPr>
        <w:autoSpaceDE w:val="0"/>
        <w:autoSpaceDN w:val="0"/>
        <w:adjustRightInd w:val="0"/>
        <w:spacing w:line="360" w:lineRule="auto"/>
        <w:jc w:val="both"/>
        <w:rPr>
          <w:rFonts w:ascii="Comic Sans MS" w:hAnsi="Comic Sans MS" w:cs="Arial"/>
          <w:i/>
        </w:rPr>
      </w:pPr>
      <w:r w:rsidRPr="00542B09">
        <w:rPr>
          <w:rFonts w:ascii="Comic Sans MS" w:hAnsi="Comic Sans MS" w:cs="Arial"/>
          <w:i/>
        </w:rPr>
        <w:t>a) le misure necessarie a ripristinare il pareggio qualora i dati della gestione finanziaria facciano prevedere un disavanzo, di gestione o di amministrazione, per squilibrio della gestione di competenza, di cassa ovvero della gestione dei residui;</w:t>
      </w:r>
    </w:p>
    <w:p w:rsidR="00196DEB" w:rsidRPr="00542B09" w:rsidRDefault="00196DEB" w:rsidP="00196DEB">
      <w:pPr>
        <w:autoSpaceDE w:val="0"/>
        <w:autoSpaceDN w:val="0"/>
        <w:adjustRightInd w:val="0"/>
        <w:spacing w:line="360" w:lineRule="auto"/>
        <w:jc w:val="both"/>
        <w:rPr>
          <w:rFonts w:ascii="Comic Sans MS" w:hAnsi="Comic Sans MS" w:cs="Arial"/>
          <w:i/>
        </w:rPr>
      </w:pPr>
      <w:r w:rsidRPr="00542B09">
        <w:rPr>
          <w:rFonts w:ascii="Comic Sans MS" w:hAnsi="Comic Sans MS" w:cs="Arial"/>
          <w:i/>
        </w:rPr>
        <w:t>b) i provvedimenti per il ripiano degli eventuali debiti di cui all'art. 194;</w:t>
      </w:r>
    </w:p>
    <w:p w:rsidR="00196DEB" w:rsidRPr="00542B09" w:rsidRDefault="00196DEB" w:rsidP="00196DEB">
      <w:pPr>
        <w:autoSpaceDE w:val="0"/>
        <w:autoSpaceDN w:val="0"/>
        <w:adjustRightInd w:val="0"/>
        <w:spacing w:line="360" w:lineRule="auto"/>
        <w:jc w:val="both"/>
        <w:rPr>
          <w:rFonts w:ascii="Comic Sans MS" w:hAnsi="Comic Sans MS" w:cs="Arial"/>
          <w:i/>
        </w:rPr>
      </w:pPr>
      <w:r w:rsidRPr="00542B09">
        <w:rPr>
          <w:rFonts w:ascii="Comic Sans MS" w:hAnsi="Comic Sans MS" w:cs="Arial"/>
          <w:i/>
        </w:rPr>
        <w:t>c) le iniziative necessarie ad adeguare il fondo crediti di dubbia esigibilità' accantonato nel risultato di amministrazione in caso di gravi squilibri riguardanti la gestione dei residui”.</w:t>
      </w:r>
    </w:p>
    <w:p w:rsidR="00196DEB" w:rsidRPr="00542B09" w:rsidRDefault="00196DEB" w:rsidP="00196DEB">
      <w:pPr>
        <w:autoSpaceDE w:val="0"/>
        <w:autoSpaceDN w:val="0"/>
        <w:adjustRightInd w:val="0"/>
        <w:spacing w:line="360" w:lineRule="auto"/>
        <w:jc w:val="both"/>
        <w:rPr>
          <w:rFonts w:ascii="Comic Sans MS" w:hAnsi="Comic Sans MS" w:cs="BookAntiqua"/>
        </w:rPr>
      </w:pPr>
      <w:r w:rsidRPr="00542B09">
        <w:rPr>
          <w:rFonts w:ascii="Comic Sans MS" w:hAnsi="Comic Sans MS" w:cs="Arial"/>
        </w:rPr>
        <w:t xml:space="preserve">L’articolo </w:t>
      </w:r>
      <w:r w:rsidRPr="00542B09">
        <w:rPr>
          <w:rFonts w:ascii="Comic Sans MS" w:hAnsi="Comic Sans MS" w:cs="Arial"/>
          <w:b/>
        </w:rPr>
        <w:t>175 comma 8</w:t>
      </w:r>
      <w:r w:rsidRPr="00542B09">
        <w:rPr>
          <w:rFonts w:ascii="Comic Sans MS" w:hAnsi="Comic Sans MS" w:cs="Arial"/>
        </w:rPr>
        <w:t xml:space="preserve"> del TUEL prevede che “</w:t>
      </w:r>
      <w:r w:rsidRPr="00542B09">
        <w:rPr>
          <w:rFonts w:ascii="Comic Sans MS" w:hAnsi="Comic Sans MS" w:cs="Arial"/>
          <w:i/>
        </w:rPr>
        <w:t>mediante la variazione di assestamento generale, deliberata dall'organo consiliare dell'ente entro il </w:t>
      </w:r>
      <w:r w:rsidRPr="00542B09">
        <w:rPr>
          <w:rFonts w:ascii="Comic Sans MS" w:hAnsi="Comic Sans MS" w:cs="Arial"/>
          <w:b/>
          <w:i/>
        </w:rPr>
        <w:t>31 luglio di ciascun anno</w:t>
      </w:r>
      <w:r w:rsidRPr="00542B09">
        <w:rPr>
          <w:rFonts w:ascii="Comic Sans MS" w:hAnsi="Comic Sans MS" w:cs="Arial"/>
          <w:i/>
        </w:rPr>
        <w:t>, si attua la verifica generale di tutte le voci di entrata e di uscita, compreso il fondo di riserva ed il fondo di cassa al fine di assicurare il mantenimento del pareggio di bilancio”</w:t>
      </w:r>
      <w:r w:rsidRPr="00542B09">
        <w:rPr>
          <w:rFonts w:ascii="Comic Sans MS" w:hAnsi="Comic Sans MS" w:cs="Arial"/>
        </w:rPr>
        <w:t>.</w:t>
      </w:r>
      <w:r w:rsidRPr="00542B09">
        <w:rPr>
          <w:rFonts w:ascii="Comic Sans MS" w:hAnsi="Comic Sans MS" w:cs="BookAntiqua"/>
        </w:rPr>
        <w:t xml:space="preserve"> </w:t>
      </w:r>
    </w:p>
    <w:p w:rsidR="00196DEB" w:rsidRPr="00542B09" w:rsidRDefault="00196DEB" w:rsidP="00196DEB">
      <w:pPr>
        <w:autoSpaceDE w:val="0"/>
        <w:autoSpaceDN w:val="0"/>
        <w:adjustRightInd w:val="0"/>
        <w:spacing w:line="360" w:lineRule="auto"/>
        <w:jc w:val="both"/>
        <w:rPr>
          <w:rFonts w:ascii="Comic Sans MS" w:hAnsi="Comic Sans MS" w:cs="BookAntiqua"/>
        </w:rPr>
      </w:pPr>
    </w:p>
    <w:p w:rsidR="00196DEB" w:rsidRPr="00542B09" w:rsidRDefault="00196DEB" w:rsidP="00196DEB">
      <w:pPr>
        <w:autoSpaceDE w:val="0"/>
        <w:autoSpaceDN w:val="0"/>
        <w:adjustRightInd w:val="0"/>
        <w:spacing w:line="360" w:lineRule="auto"/>
        <w:jc w:val="both"/>
        <w:rPr>
          <w:rFonts w:ascii="Comic Sans MS" w:hAnsi="Comic Sans MS" w:cs="Arial"/>
        </w:rPr>
      </w:pPr>
      <w:r w:rsidRPr="00542B09">
        <w:rPr>
          <w:rFonts w:ascii="Comic Sans MS" w:hAnsi="Comic Sans MS" w:cs="Arial"/>
        </w:rPr>
        <w:t>Rilevato che il regolamento di contabilità dell’ente non ha previsto una diversa periodicità per la salvaguardia degli equilibri di bilancio rispetto al termine del 31 luglio.</w:t>
      </w:r>
    </w:p>
    <w:p w:rsidR="00196DEB" w:rsidRPr="00542B09" w:rsidRDefault="00196DEB" w:rsidP="00196DEB">
      <w:pPr>
        <w:autoSpaceDE w:val="0"/>
        <w:autoSpaceDN w:val="0"/>
        <w:adjustRightInd w:val="0"/>
        <w:spacing w:line="360" w:lineRule="auto"/>
        <w:jc w:val="both"/>
        <w:rPr>
          <w:rFonts w:ascii="Comic Sans MS" w:hAnsi="Comic Sans MS" w:cs="Arial"/>
        </w:rPr>
      </w:pPr>
      <w:r w:rsidRPr="00542B09">
        <w:rPr>
          <w:rFonts w:ascii="Comic Sans MS" w:hAnsi="Comic Sans MS" w:cs="Arial"/>
        </w:rPr>
        <w:t>Al fine di monitorare l’andamento completo della gestione mantenendo l’equilibrio economico finanziario, gli enti locali devono attestare:</w:t>
      </w:r>
    </w:p>
    <w:p w:rsidR="00196DEB" w:rsidRPr="00542B09" w:rsidRDefault="00196DEB" w:rsidP="00196DEB">
      <w:pPr>
        <w:autoSpaceDE w:val="0"/>
        <w:autoSpaceDN w:val="0"/>
        <w:adjustRightInd w:val="0"/>
        <w:spacing w:line="360" w:lineRule="auto"/>
        <w:jc w:val="both"/>
        <w:rPr>
          <w:rFonts w:ascii="Comic Sans MS" w:hAnsi="Comic Sans MS" w:cs="Arial"/>
        </w:rPr>
      </w:pPr>
      <w:r w:rsidRPr="00542B09">
        <w:rPr>
          <w:rFonts w:ascii="Comic Sans MS" w:hAnsi="Comic Sans MS" w:cs="Arial"/>
        </w:rPr>
        <w:t>- il rispetto del principio del pareggio di bilancio;</w:t>
      </w:r>
    </w:p>
    <w:p w:rsidR="00196DEB" w:rsidRPr="00542B09" w:rsidRDefault="00196DEB" w:rsidP="00196DEB">
      <w:pPr>
        <w:autoSpaceDE w:val="0"/>
        <w:autoSpaceDN w:val="0"/>
        <w:adjustRightInd w:val="0"/>
        <w:spacing w:line="360" w:lineRule="auto"/>
        <w:jc w:val="both"/>
        <w:rPr>
          <w:rFonts w:ascii="Comic Sans MS" w:hAnsi="Comic Sans MS" w:cs="Arial"/>
        </w:rPr>
      </w:pPr>
      <w:r w:rsidRPr="00542B09">
        <w:rPr>
          <w:rFonts w:ascii="Comic Sans MS" w:hAnsi="Comic Sans MS" w:cs="Arial"/>
        </w:rPr>
        <w:t>- il rispetto di tutti gli equilibri cui il bilancio è sottoposto;</w:t>
      </w:r>
    </w:p>
    <w:p w:rsidR="00196DEB" w:rsidRPr="00542B09" w:rsidRDefault="00196DEB" w:rsidP="00196DEB">
      <w:pPr>
        <w:autoSpaceDE w:val="0"/>
        <w:autoSpaceDN w:val="0"/>
        <w:adjustRightInd w:val="0"/>
        <w:spacing w:line="360" w:lineRule="auto"/>
        <w:jc w:val="both"/>
        <w:rPr>
          <w:rFonts w:ascii="Comic Sans MS" w:hAnsi="Comic Sans MS" w:cs="Arial"/>
        </w:rPr>
      </w:pPr>
      <w:r w:rsidRPr="00542B09">
        <w:rPr>
          <w:rFonts w:ascii="Comic Sans MS" w:hAnsi="Comic Sans MS" w:cs="Arial"/>
        </w:rPr>
        <w:t>- la coerenza della gestione con gli obiettivi di finanza pubblica;</w:t>
      </w:r>
    </w:p>
    <w:p w:rsidR="00196DEB" w:rsidRPr="00542B09" w:rsidRDefault="00196DEB" w:rsidP="00196DEB">
      <w:pPr>
        <w:autoSpaceDE w:val="0"/>
        <w:autoSpaceDN w:val="0"/>
        <w:adjustRightInd w:val="0"/>
        <w:spacing w:line="360" w:lineRule="auto"/>
        <w:jc w:val="both"/>
        <w:rPr>
          <w:rFonts w:ascii="Comic Sans MS" w:hAnsi="Comic Sans MS" w:cs="Arial"/>
        </w:rPr>
      </w:pPr>
      <w:r w:rsidRPr="00542B09">
        <w:rPr>
          <w:rFonts w:ascii="Comic Sans MS" w:hAnsi="Comic Sans MS" w:cs="Arial"/>
        </w:rPr>
        <w:lastRenderedPageBreak/>
        <w:t>- la congruità della quantificazione del fondo crediti di dubbia esigibilità rispetto sia alla normativa vigente sia all’andamento delle entrate soggette a svalutazione;</w:t>
      </w:r>
    </w:p>
    <w:p w:rsidR="00196DEB" w:rsidRPr="00542B09" w:rsidRDefault="00196DEB" w:rsidP="00196DEB">
      <w:pPr>
        <w:autoSpaceDE w:val="0"/>
        <w:autoSpaceDN w:val="0"/>
        <w:adjustRightInd w:val="0"/>
        <w:spacing w:line="360" w:lineRule="auto"/>
        <w:jc w:val="both"/>
        <w:rPr>
          <w:rFonts w:ascii="Comic Sans MS" w:hAnsi="Comic Sans MS" w:cs="Arial"/>
        </w:rPr>
      </w:pPr>
      <w:r w:rsidRPr="00542B09">
        <w:rPr>
          <w:rFonts w:ascii="Comic Sans MS" w:hAnsi="Comic Sans MS" w:cs="Arial"/>
        </w:rPr>
        <w:t>- la congruità del fondo rischi passività potenziali e dell’accantonamento per perdite di organismi partecipati.</w:t>
      </w:r>
    </w:p>
    <w:p w:rsidR="00196DEB" w:rsidRPr="00542B09" w:rsidRDefault="00196DEB" w:rsidP="00196DEB">
      <w:pPr>
        <w:autoSpaceDE w:val="0"/>
        <w:autoSpaceDN w:val="0"/>
        <w:adjustRightInd w:val="0"/>
        <w:spacing w:line="360" w:lineRule="auto"/>
        <w:jc w:val="both"/>
        <w:rPr>
          <w:rFonts w:ascii="Comic Sans MS" w:hAnsi="Comic Sans MS" w:cs="Arial"/>
        </w:rPr>
      </w:pPr>
      <w:r w:rsidRPr="00542B09">
        <w:rPr>
          <w:rFonts w:ascii="Comic Sans MS" w:hAnsi="Comic Sans MS" w:cs="Arial"/>
        </w:rPr>
        <w:t>Nel caso di accertamento negativo, gli enti devono adottare contestualmente:</w:t>
      </w:r>
    </w:p>
    <w:p w:rsidR="00196DEB" w:rsidRPr="00542B09" w:rsidRDefault="00196DEB" w:rsidP="00196DEB">
      <w:pPr>
        <w:autoSpaceDE w:val="0"/>
        <w:autoSpaceDN w:val="0"/>
        <w:adjustRightInd w:val="0"/>
        <w:spacing w:line="360" w:lineRule="auto"/>
        <w:jc w:val="both"/>
        <w:rPr>
          <w:rFonts w:ascii="Comic Sans MS" w:hAnsi="Comic Sans MS" w:cs="Arial"/>
        </w:rPr>
      </w:pPr>
      <w:r w:rsidRPr="00542B09">
        <w:rPr>
          <w:rFonts w:ascii="Comic Sans MS" w:hAnsi="Comic Sans MS" w:cs="Arial"/>
        </w:rPr>
        <w:t>- le misure necessarie al ripristino del pareggio, qualora i dati della gestione finanziaria facciano prevedere un disavanzo, di gestione o di amministrazione, per squilibrio della gestione di competenza, della gestione dei residui ed anche, in virtù del nuovo bilancio armonizzato, della gestione di cassa;</w:t>
      </w:r>
    </w:p>
    <w:p w:rsidR="00196DEB" w:rsidRPr="00542B09" w:rsidRDefault="00196DEB" w:rsidP="00196DEB">
      <w:pPr>
        <w:autoSpaceDE w:val="0"/>
        <w:autoSpaceDN w:val="0"/>
        <w:adjustRightInd w:val="0"/>
        <w:spacing w:line="360" w:lineRule="auto"/>
        <w:jc w:val="both"/>
        <w:rPr>
          <w:rFonts w:ascii="Comic Sans MS" w:hAnsi="Comic Sans MS" w:cs="Arial"/>
        </w:rPr>
      </w:pPr>
      <w:r w:rsidRPr="00542B09">
        <w:rPr>
          <w:rFonts w:ascii="Comic Sans MS" w:hAnsi="Comic Sans MS" w:cs="Arial"/>
        </w:rPr>
        <w:t>- i provvedimenti di ripiano di eventuali debiti fuori bilancio di cui all’art. 194 del TUEL;</w:t>
      </w:r>
    </w:p>
    <w:p w:rsidR="00196DEB" w:rsidRPr="00542B09" w:rsidRDefault="00196DEB" w:rsidP="00196DEB">
      <w:pPr>
        <w:autoSpaceDE w:val="0"/>
        <w:autoSpaceDN w:val="0"/>
        <w:adjustRightInd w:val="0"/>
        <w:spacing w:line="360" w:lineRule="auto"/>
        <w:jc w:val="both"/>
        <w:rPr>
          <w:rFonts w:ascii="Comic Sans MS" w:hAnsi="Comic Sans MS" w:cs="Arial"/>
        </w:rPr>
      </w:pPr>
      <w:r w:rsidRPr="00542B09">
        <w:rPr>
          <w:rFonts w:ascii="Comic Sans MS" w:hAnsi="Comic Sans MS" w:cs="Arial"/>
        </w:rPr>
        <w:t>- l’adeguamento del fondo crediti di dubbia esigibilità accantonato nel risultato di amministrazione, nel caso di gravi squilibri riguardanti la gestione dei residui, o iscritto nel bilancio di previsione, in relazione a eventuali variazioni di bilancio che si rendessero necessarie;</w:t>
      </w:r>
    </w:p>
    <w:p w:rsidR="00196DEB" w:rsidRPr="00542B09" w:rsidRDefault="00196DEB" w:rsidP="00196DEB">
      <w:pPr>
        <w:autoSpaceDE w:val="0"/>
        <w:autoSpaceDN w:val="0"/>
        <w:adjustRightInd w:val="0"/>
        <w:spacing w:line="360" w:lineRule="auto"/>
        <w:jc w:val="both"/>
        <w:rPr>
          <w:rFonts w:ascii="Comic Sans MS" w:hAnsi="Comic Sans MS" w:cs="Arial"/>
        </w:rPr>
      </w:pPr>
      <w:r w:rsidRPr="00542B09">
        <w:rPr>
          <w:rFonts w:ascii="Comic Sans MS" w:hAnsi="Comic Sans MS" w:cs="Arial"/>
        </w:rPr>
        <w:t>- le misure per integrare il fondo rischi passività potenziali e l’accantonamento per perdite di organismi partecipati.</w:t>
      </w:r>
    </w:p>
    <w:p w:rsidR="00196DEB" w:rsidRPr="00542B09" w:rsidRDefault="00196DEB" w:rsidP="00196DEB">
      <w:pPr>
        <w:autoSpaceDE w:val="0"/>
        <w:autoSpaceDN w:val="0"/>
        <w:adjustRightInd w:val="0"/>
        <w:spacing w:line="360" w:lineRule="auto"/>
        <w:jc w:val="both"/>
        <w:rPr>
          <w:rFonts w:ascii="Comic Sans MS" w:hAnsi="Comic Sans MS" w:cs="Arial"/>
        </w:rPr>
      </w:pPr>
      <w:r w:rsidRPr="00542B09">
        <w:rPr>
          <w:rFonts w:ascii="Comic Sans MS" w:hAnsi="Comic Sans MS" w:cs="Arial"/>
        </w:rPr>
        <w:t>L'operazione di ricognizione sottoposta all'analisi del Consiglio Comunale ha pertanto una triplice finalità:</w:t>
      </w:r>
    </w:p>
    <w:p w:rsidR="00196DEB" w:rsidRPr="00542B09" w:rsidRDefault="00196DEB" w:rsidP="00196DEB">
      <w:pPr>
        <w:autoSpaceDE w:val="0"/>
        <w:autoSpaceDN w:val="0"/>
        <w:adjustRightInd w:val="0"/>
        <w:spacing w:line="360" w:lineRule="auto"/>
        <w:jc w:val="both"/>
        <w:rPr>
          <w:rFonts w:ascii="Comic Sans MS" w:hAnsi="Comic Sans MS" w:cs="Arial"/>
        </w:rPr>
      </w:pPr>
      <w:r w:rsidRPr="00542B09">
        <w:rPr>
          <w:rFonts w:ascii="Comic Sans MS" w:hAnsi="Comic Sans MS" w:cs="Arial"/>
        </w:rPr>
        <w:t xml:space="preserve">- </w:t>
      </w:r>
      <w:r w:rsidRPr="00542B09">
        <w:rPr>
          <w:rFonts w:ascii="Comic Sans MS" w:hAnsi="Comic Sans MS" w:cs="Arial"/>
          <w:b/>
        </w:rPr>
        <w:t>Verificare</w:t>
      </w:r>
      <w:r w:rsidRPr="00542B09">
        <w:rPr>
          <w:rFonts w:ascii="Comic Sans MS" w:hAnsi="Comic Sans MS" w:cs="Arial"/>
        </w:rPr>
        <w:t>, prendendo in considerazione ogni aspetto della gestione finanziaria, il permanere degli equilibri generali di bilancio;</w:t>
      </w:r>
    </w:p>
    <w:p w:rsidR="00196DEB" w:rsidRPr="00542B09" w:rsidRDefault="00196DEB" w:rsidP="00196DEB">
      <w:pPr>
        <w:autoSpaceDE w:val="0"/>
        <w:autoSpaceDN w:val="0"/>
        <w:adjustRightInd w:val="0"/>
        <w:spacing w:line="360" w:lineRule="auto"/>
        <w:jc w:val="both"/>
        <w:rPr>
          <w:rFonts w:ascii="Comic Sans MS" w:hAnsi="Comic Sans MS" w:cs="Arial"/>
        </w:rPr>
      </w:pPr>
      <w:r w:rsidRPr="00542B09">
        <w:rPr>
          <w:rFonts w:ascii="Comic Sans MS" w:hAnsi="Comic Sans MS" w:cs="Arial"/>
        </w:rPr>
        <w:t xml:space="preserve">- </w:t>
      </w:r>
      <w:r w:rsidRPr="00542B09">
        <w:rPr>
          <w:rFonts w:ascii="Comic Sans MS" w:hAnsi="Comic Sans MS" w:cs="Arial"/>
          <w:b/>
        </w:rPr>
        <w:t>Intervenire</w:t>
      </w:r>
      <w:r w:rsidRPr="00542B09">
        <w:rPr>
          <w:rFonts w:ascii="Comic Sans MS" w:hAnsi="Comic Sans MS" w:cs="Arial"/>
        </w:rPr>
        <w:t>, qualora gli equilibri di bilancio siano intaccati, deliberando le misure idonee a ripristinare la situazione di pareggio;</w:t>
      </w:r>
    </w:p>
    <w:p w:rsidR="00196DEB" w:rsidRPr="00542B09" w:rsidRDefault="00196DEB" w:rsidP="00196DEB">
      <w:pPr>
        <w:autoSpaceDE w:val="0"/>
        <w:autoSpaceDN w:val="0"/>
        <w:adjustRightInd w:val="0"/>
        <w:spacing w:line="360" w:lineRule="auto"/>
        <w:jc w:val="both"/>
        <w:rPr>
          <w:rFonts w:ascii="Comic Sans MS" w:hAnsi="Comic Sans MS" w:cs="Arial"/>
        </w:rPr>
      </w:pPr>
      <w:r w:rsidRPr="00542B09">
        <w:rPr>
          <w:rFonts w:ascii="Comic Sans MS" w:hAnsi="Comic Sans MS" w:cs="Arial"/>
        </w:rPr>
        <w:t xml:space="preserve">- </w:t>
      </w:r>
      <w:r w:rsidRPr="00542B09">
        <w:rPr>
          <w:rFonts w:ascii="Comic Sans MS" w:hAnsi="Comic Sans MS" w:cs="Arial"/>
          <w:b/>
        </w:rPr>
        <w:t>Monitorare</w:t>
      </w:r>
      <w:r w:rsidRPr="00542B09">
        <w:rPr>
          <w:rFonts w:ascii="Comic Sans MS" w:hAnsi="Comic Sans MS" w:cs="Arial"/>
        </w:rPr>
        <w:t>, tramite l'analisi della situazione contabile attuale, lo stato di attuazione dei programmi generali intrapresi dall'Ente.</w:t>
      </w:r>
    </w:p>
    <w:p w:rsidR="00196DEB" w:rsidRPr="00542B09" w:rsidRDefault="00196DEB" w:rsidP="00196DEB">
      <w:pPr>
        <w:autoSpaceDE w:val="0"/>
        <w:autoSpaceDN w:val="0"/>
        <w:adjustRightInd w:val="0"/>
        <w:spacing w:line="360" w:lineRule="auto"/>
        <w:jc w:val="both"/>
        <w:rPr>
          <w:rFonts w:ascii="Comic Sans MS" w:hAnsi="Comic Sans MS" w:cs="Arial"/>
        </w:rPr>
      </w:pPr>
    </w:p>
    <w:p w:rsidR="00196DEB" w:rsidRPr="00542B09" w:rsidRDefault="00196DEB" w:rsidP="00196DEB">
      <w:pPr>
        <w:pBdr>
          <w:top w:val="single" w:sz="4" w:space="1" w:color="auto"/>
          <w:left w:val="single" w:sz="4" w:space="4" w:color="auto"/>
          <w:bottom w:val="single" w:sz="4" w:space="1" w:color="auto"/>
          <w:right w:val="single" w:sz="4" w:space="4" w:color="auto"/>
        </w:pBdr>
        <w:shd w:val="clear" w:color="auto" w:fill="DAEEF3"/>
        <w:autoSpaceDE w:val="0"/>
        <w:autoSpaceDN w:val="0"/>
        <w:adjustRightInd w:val="0"/>
        <w:spacing w:line="360" w:lineRule="auto"/>
        <w:jc w:val="center"/>
        <w:rPr>
          <w:rFonts w:ascii="Comic Sans MS" w:hAnsi="Comic Sans MS" w:cs="Arial"/>
          <w:b/>
        </w:rPr>
      </w:pPr>
      <w:r w:rsidRPr="00542B09">
        <w:rPr>
          <w:rFonts w:ascii="Comic Sans MS" w:hAnsi="Comic Sans MS" w:cs="Arial"/>
          <w:b/>
        </w:rPr>
        <w:t>ANALISI DELLA DOCUMENTAZIONE</w:t>
      </w:r>
    </w:p>
    <w:p w:rsidR="00196DEB" w:rsidRPr="00542B09" w:rsidRDefault="00196DEB" w:rsidP="00196DEB">
      <w:pPr>
        <w:autoSpaceDE w:val="0"/>
        <w:autoSpaceDN w:val="0"/>
        <w:adjustRightInd w:val="0"/>
        <w:spacing w:line="360" w:lineRule="auto"/>
        <w:jc w:val="both"/>
        <w:rPr>
          <w:rFonts w:ascii="Comic Sans MS" w:hAnsi="Comic Sans MS" w:cs="Arial"/>
        </w:rPr>
      </w:pPr>
    </w:p>
    <w:p w:rsidR="00196DEB" w:rsidRPr="00542B09" w:rsidRDefault="00196DEB" w:rsidP="00196DEB">
      <w:pPr>
        <w:autoSpaceDE w:val="0"/>
        <w:autoSpaceDN w:val="0"/>
        <w:adjustRightInd w:val="0"/>
        <w:spacing w:line="360" w:lineRule="auto"/>
        <w:jc w:val="both"/>
        <w:rPr>
          <w:rFonts w:ascii="Comic Sans MS" w:hAnsi="Comic Sans MS" w:cs="Arial"/>
        </w:rPr>
      </w:pPr>
      <w:r w:rsidRPr="00542B09">
        <w:rPr>
          <w:rFonts w:ascii="Comic Sans MS" w:hAnsi="Comic Sans MS" w:cs="Arial"/>
        </w:rPr>
        <w:t>Il Collegio, procede all’esame della documentazione relativa alla salvaguardia degli equilibri di bilancio, effettuata dall’Ente, come indicato anche dal principio della programmazione allegato 4/1 al D.Lgs. 118/2011, punto 4.2 lettera g).</w:t>
      </w:r>
    </w:p>
    <w:p w:rsidR="00196DEB" w:rsidRPr="00542B09" w:rsidRDefault="00196DEB" w:rsidP="00196DEB">
      <w:pPr>
        <w:autoSpaceDE w:val="0"/>
        <w:autoSpaceDN w:val="0"/>
        <w:adjustRightInd w:val="0"/>
        <w:spacing w:line="360" w:lineRule="auto"/>
        <w:jc w:val="both"/>
        <w:rPr>
          <w:rFonts w:ascii="Comic Sans MS" w:hAnsi="Comic Sans MS" w:cs="Arial"/>
        </w:rPr>
      </w:pPr>
    </w:p>
    <w:p w:rsidR="00196DEB" w:rsidRPr="00542B09" w:rsidRDefault="00996D01" w:rsidP="00196DEB">
      <w:pPr>
        <w:autoSpaceDE w:val="0"/>
        <w:autoSpaceDN w:val="0"/>
        <w:adjustRightInd w:val="0"/>
        <w:spacing w:line="360" w:lineRule="auto"/>
        <w:jc w:val="both"/>
        <w:rPr>
          <w:rFonts w:ascii="Comic Sans MS" w:hAnsi="Comic Sans MS" w:cs="Arial"/>
        </w:rPr>
      </w:pPr>
      <w:r>
        <w:rPr>
          <w:rFonts w:ascii="Comic Sans MS" w:hAnsi="Comic Sans MS" w:cs="Arial"/>
        </w:rPr>
        <w:t>Il Collegio,</w:t>
      </w:r>
      <w:r w:rsidR="00196DEB" w:rsidRPr="00542B09">
        <w:rPr>
          <w:rFonts w:ascii="Comic Sans MS" w:hAnsi="Comic Sans MS" w:cs="Arial"/>
        </w:rPr>
        <w:t>, pertanto, prende atto che, a seguito delle verifiche effettuate dal Responsabile dei Servizi Finanziari con i veri responsabili degli Uffici e Servizi,  al fine della salvaguardia degli equilibri di bilancio si rendono necessari i seguenti interventi:</w:t>
      </w:r>
    </w:p>
    <w:p w:rsidR="00196DEB" w:rsidRPr="00542B09" w:rsidRDefault="00196DEB" w:rsidP="00196DEB">
      <w:pPr>
        <w:autoSpaceDE w:val="0"/>
        <w:autoSpaceDN w:val="0"/>
        <w:adjustRightInd w:val="0"/>
        <w:spacing w:line="360" w:lineRule="auto"/>
        <w:jc w:val="both"/>
        <w:rPr>
          <w:rFonts w:ascii="Comic Sans MS" w:hAnsi="Comic Sans MS" w:cs="Arial"/>
          <w:i/>
          <w:u w:val="single"/>
        </w:rPr>
      </w:pPr>
      <w:r w:rsidRPr="00542B09">
        <w:rPr>
          <w:rFonts w:ascii="Comic Sans MS" w:hAnsi="Comic Sans MS" w:cs="Arial"/>
          <w:i/>
          <w:u w:val="single"/>
        </w:rPr>
        <w:t>Cassa</w:t>
      </w:r>
    </w:p>
    <w:p w:rsidR="00196DEB" w:rsidRPr="00542B09" w:rsidRDefault="00196DEB" w:rsidP="00196DEB">
      <w:pPr>
        <w:pStyle w:val="Paragrafoelenco"/>
        <w:numPr>
          <w:ilvl w:val="0"/>
          <w:numId w:val="10"/>
        </w:numPr>
        <w:autoSpaceDE w:val="0"/>
        <w:autoSpaceDN w:val="0"/>
        <w:adjustRightInd w:val="0"/>
        <w:spacing w:after="0" w:line="360" w:lineRule="auto"/>
        <w:jc w:val="both"/>
        <w:rPr>
          <w:rFonts w:ascii="Comic Sans MS" w:hAnsi="Comic Sans MS" w:cs="Arial"/>
          <w:b/>
          <w:sz w:val="24"/>
          <w:szCs w:val="24"/>
          <w:u w:val="single"/>
        </w:rPr>
      </w:pPr>
      <w:r w:rsidRPr="00542B09">
        <w:rPr>
          <w:rFonts w:ascii="Comic Sans MS" w:hAnsi="Comic Sans MS" w:cs="Arial"/>
          <w:b/>
          <w:sz w:val="24"/>
          <w:szCs w:val="24"/>
          <w:u w:val="single"/>
        </w:rPr>
        <w:t>Minori entrate</w:t>
      </w:r>
      <w:r w:rsidRPr="00542B09">
        <w:rPr>
          <w:rFonts w:ascii="Comic Sans MS" w:hAnsi="Comic Sans MS" w:cs="Arial"/>
          <w:sz w:val="24"/>
          <w:szCs w:val="24"/>
        </w:rPr>
        <w:t xml:space="preserve"> derivanti principalmente da proventi permessi a costruire, Cosap, rilascio di contrassegni ztl e proventi per concessioni di parcheggi;</w:t>
      </w:r>
    </w:p>
    <w:p w:rsidR="00196DEB" w:rsidRPr="00542B09" w:rsidRDefault="00196DEB" w:rsidP="00196DEB">
      <w:pPr>
        <w:pStyle w:val="Paragrafoelenco"/>
        <w:numPr>
          <w:ilvl w:val="0"/>
          <w:numId w:val="10"/>
        </w:numPr>
        <w:autoSpaceDE w:val="0"/>
        <w:autoSpaceDN w:val="0"/>
        <w:adjustRightInd w:val="0"/>
        <w:spacing w:after="0" w:line="360" w:lineRule="auto"/>
        <w:jc w:val="both"/>
        <w:rPr>
          <w:rFonts w:ascii="Comic Sans MS" w:hAnsi="Comic Sans MS" w:cs="Arial"/>
          <w:b/>
          <w:sz w:val="24"/>
          <w:szCs w:val="24"/>
          <w:u w:val="single"/>
        </w:rPr>
      </w:pPr>
      <w:r w:rsidRPr="00542B09">
        <w:rPr>
          <w:rFonts w:ascii="Comic Sans MS" w:hAnsi="Comic Sans MS" w:cs="Arial"/>
          <w:b/>
          <w:sz w:val="24"/>
          <w:szCs w:val="24"/>
          <w:u w:val="single"/>
        </w:rPr>
        <w:t>Maggiori entrate</w:t>
      </w:r>
      <w:r w:rsidRPr="00542B09">
        <w:rPr>
          <w:rFonts w:ascii="Comic Sans MS" w:hAnsi="Comic Sans MS" w:cs="Arial"/>
          <w:sz w:val="24"/>
          <w:szCs w:val="24"/>
        </w:rPr>
        <w:t xml:space="preserve"> derivanti principalmente da procedura in corso per rilascio licenze taxi, proventi infrazione codici della strada, verifiche impianti termici e contributi regionali, dell’Unione Europea ed enti pubblici;</w:t>
      </w:r>
    </w:p>
    <w:p w:rsidR="00196DEB" w:rsidRPr="00542B09" w:rsidRDefault="00196DEB" w:rsidP="00196DEB">
      <w:pPr>
        <w:pStyle w:val="Paragrafoelenco"/>
        <w:numPr>
          <w:ilvl w:val="0"/>
          <w:numId w:val="10"/>
        </w:numPr>
        <w:autoSpaceDE w:val="0"/>
        <w:autoSpaceDN w:val="0"/>
        <w:adjustRightInd w:val="0"/>
        <w:spacing w:after="0" w:line="360" w:lineRule="auto"/>
        <w:jc w:val="both"/>
        <w:rPr>
          <w:rFonts w:ascii="Comic Sans MS" w:hAnsi="Comic Sans MS" w:cs="Arial"/>
          <w:b/>
          <w:sz w:val="24"/>
          <w:szCs w:val="24"/>
          <w:u w:val="single"/>
        </w:rPr>
      </w:pPr>
      <w:r w:rsidRPr="00542B09">
        <w:rPr>
          <w:rFonts w:ascii="Comic Sans MS" w:hAnsi="Comic Sans MS" w:cs="Arial"/>
          <w:b/>
          <w:sz w:val="24"/>
          <w:szCs w:val="24"/>
          <w:u w:val="single"/>
        </w:rPr>
        <w:t xml:space="preserve">Minori spese </w:t>
      </w:r>
      <w:r w:rsidRPr="00542B09">
        <w:rPr>
          <w:rFonts w:ascii="Comic Sans MS" w:hAnsi="Comic Sans MS" w:cs="Arial"/>
          <w:sz w:val="24"/>
          <w:szCs w:val="24"/>
        </w:rPr>
        <w:t xml:space="preserve"> sui servizi</w:t>
      </w:r>
    </w:p>
    <w:p w:rsidR="00196DEB" w:rsidRPr="00542B09" w:rsidRDefault="00196DEB" w:rsidP="00196DEB">
      <w:pPr>
        <w:pStyle w:val="Paragrafoelenco"/>
        <w:numPr>
          <w:ilvl w:val="0"/>
          <w:numId w:val="10"/>
        </w:numPr>
        <w:autoSpaceDE w:val="0"/>
        <w:autoSpaceDN w:val="0"/>
        <w:adjustRightInd w:val="0"/>
        <w:spacing w:after="0" w:line="360" w:lineRule="auto"/>
        <w:jc w:val="both"/>
        <w:rPr>
          <w:rFonts w:ascii="Comic Sans MS" w:hAnsi="Comic Sans MS" w:cs="Arial"/>
          <w:b/>
          <w:sz w:val="24"/>
          <w:szCs w:val="24"/>
          <w:u w:val="single"/>
        </w:rPr>
      </w:pPr>
      <w:r w:rsidRPr="00542B09">
        <w:rPr>
          <w:rFonts w:ascii="Comic Sans MS" w:hAnsi="Comic Sans MS" w:cs="Arial"/>
          <w:b/>
          <w:sz w:val="24"/>
          <w:szCs w:val="24"/>
          <w:u w:val="single"/>
        </w:rPr>
        <w:t>Maggiori spese</w:t>
      </w:r>
      <w:r w:rsidRPr="00542B09">
        <w:rPr>
          <w:rFonts w:ascii="Comic Sans MS" w:hAnsi="Comic Sans MS" w:cs="Arial"/>
          <w:sz w:val="24"/>
          <w:szCs w:val="24"/>
        </w:rPr>
        <w:t xml:space="preserve"> sui servizi</w:t>
      </w:r>
    </w:p>
    <w:p w:rsidR="00196DEB" w:rsidRPr="00542B09" w:rsidRDefault="00196DEB" w:rsidP="00196DEB">
      <w:pPr>
        <w:autoSpaceDE w:val="0"/>
        <w:autoSpaceDN w:val="0"/>
        <w:adjustRightInd w:val="0"/>
        <w:spacing w:line="360" w:lineRule="auto"/>
        <w:jc w:val="both"/>
        <w:rPr>
          <w:rFonts w:ascii="Comic Sans MS" w:hAnsi="Comic Sans MS" w:cs="Arial"/>
          <w:b/>
          <w:u w:val="single"/>
        </w:rPr>
      </w:pPr>
    </w:p>
    <w:p w:rsidR="00196DEB" w:rsidRPr="00542B09" w:rsidRDefault="00196DEB" w:rsidP="00196DEB">
      <w:pPr>
        <w:autoSpaceDE w:val="0"/>
        <w:autoSpaceDN w:val="0"/>
        <w:adjustRightInd w:val="0"/>
        <w:spacing w:line="360" w:lineRule="auto"/>
        <w:jc w:val="both"/>
        <w:rPr>
          <w:rFonts w:ascii="Comic Sans MS" w:hAnsi="Comic Sans MS" w:cs="Arial"/>
          <w:i/>
          <w:u w:val="single"/>
        </w:rPr>
      </w:pPr>
      <w:r w:rsidRPr="00542B09">
        <w:rPr>
          <w:rFonts w:ascii="Comic Sans MS" w:hAnsi="Comic Sans MS" w:cs="Arial"/>
          <w:i/>
          <w:u w:val="single"/>
        </w:rPr>
        <w:t>Investimenti</w:t>
      </w:r>
    </w:p>
    <w:p w:rsidR="00196DEB" w:rsidRPr="00542B09" w:rsidRDefault="00196DEB" w:rsidP="00196DEB">
      <w:pPr>
        <w:pStyle w:val="Paragrafoelenco"/>
        <w:numPr>
          <w:ilvl w:val="0"/>
          <w:numId w:val="10"/>
        </w:numPr>
        <w:autoSpaceDE w:val="0"/>
        <w:autoSpaceDN w:val="0"/>
        <w:adjustRightInd w:val="0"/>
        <w:spacing w:after="0" w:line="360" w:lineRule="auto"/>
        <w:jc w:val="both"/>
        <w:rPr>
          <w:rFonts w:ascii="Comic Sans MS" w:hAnsi="Comic Sans MS" w:cs="Arial"/>
          <w:b/>
          <w:sz w:val="24"/>
          <w:szCs w:val="24"/>
          <w:u w:val="single"/>
        </w:rPr>
      </w:pPr>
      <w:r w:rsidRPr="00542B09">
        <w:rPr>
          <w:rFonts w:ascii="Comic Sans MS" w:hAnsi="Comic Sans MS" w:cs="Arial"/>
          <w:b/>
          <w:sz w:val="24"/>
          <w:szCs w:val="24"/>
          <w:u w:val="single"/>
        </w:rPr>
        <w:t>Nuovi investimenti</w:t>
      </w:r>
      <w:r w:rsidRPr="00542B09">
        <w:rPr>
          <w:rFonts w:ascii="Comic Sans MS" w:hAnsi="Comic Sans MS" w:cs="Arial"/>
          <w:sz w:val="24"/>
          <w:szCs w:val="24"/>
        </w:rPr>
        <w:t xml:space="preserve"> finanziati con trasferimenti di enti pubblici o privati e da avanzo di amministrazione;</w:t>
      </w:r>
    </w:p>
    <w:p w:rsidR="00196DEB" w:rsidRPr="00542B09" w:rsidRDefault="00196DEB" w:rsidP="00196DEB">
      <w:pPr>
        <w:pStyle w:val="Paragrafoelenco"/>
        <w:numPr>
          <w:ilvl w:val="0"/>
          <w:numId w:val="10"/>
        </w:numPr>
        <w:autoSpaceDE w:val="0"/>
        <w:autoSpaceDN w:val="0"/>
        <w:adjustRightInd w:val="0"/>
        <w:spacing w:after="0" w:line="360" w:lineRule="auto"/>
        <w:jc w:val="both"/>
        <w:rPr>
          <w:rFonts w:ascii="Comic Sans MS" w:hAnsi="Comic Sans MS" w:cs="Arial"/>
          <w:b/>
          <w:sz w:val="24"/>
          <w:szCs w:val="24"/>
          <w:u w:val="single"/>
        </w:rPr>
      </w:pPr>
      <w:r w:rsidRPr="00542B09">
        <w:rPr>
          <w:rFonts w:ascii="Comic Sans MS" w:hAnsi="Comic Sans MS" w:cs="Arial"/>
          <w:b/>
          <w:sz w:val="24"/>
          <w:szCs w:val="24"/>
          <w:u w:val="single"/>
        </w:rPr>
        <w:t>Applicazione  avanzo vincolato</w:t>
      </w:r>
      <w:r w:rsidRPr="00542B09">
        <w:rPr>
          <w:rFonts w:ascii="Comic Sans MS" w:hAnsi="Comic Sans MS" w:cs="Arial"/>
          <w:sz w:val="24"/>
          <w:szCs w:val="24"/>
        </w:rPr>
        <w:t xml:space="preserve"> sia ad investimenti progettati in precedenti esercizi che a nuovi investimenti</w:t>
      </w:r>
    </w:p>
    <w:p w:rsidR="00196DEB" w:rsidRPr="00542B09" w:rsidRDefault="00196DEB" w:rsidP="00196DEB">
      <w:pPr>
        <w:pStyle w:val="Paragrafoelenco"/>
        <w:numPr>
          <w:ilvl w:val="0"/>
          <w:numId w:val="10"/>
        </w:numPr>
        <w:autoSpaceDE w:val="0"/>
        <w:autoSpaceDN w:val="0"/>
        <w:adjustRightInd w:val="0"/>
        <w:spacing w:after="0" w:line="360" w:lineRule="auto"/>
        <w:jc w:val="both"/>
        <w:rPr>
          <w:rFonts w:ascii="Comic Sans MS" w:hAnsi="Comic Sans MS" w:cs="Arial"/>
          <w:b/>
          <w:sz w:val="24"/>
          <w:szCs w:val="24"/>
          <w:u w:val="single"/>
        </w:rPr>
      </w:pPr>
      <w:r w:rsidRPr="00542B09">
        <w:rPr>
          <w:rFonts w:ascii="Comic Sans MS" w:hAnsi="Comic Sans MS" w:cs="Arial"/>
          <w:b/>
          <w:sz w:val="24"/>
          <w:szCs w:val="24"/>
          <w:u w:val="single"/>
        </w:rPr>
        <w:t xml:space="preserve">Modifica cronoprogramma </w:t>
      </w:r>
    </w:p>
    <w:p w:rsidR="00196DEB" w:rsidRPr="00542B09" w:rsidRDefault="00196DEB" w:rsidP="00196DEB">
      <w:pPr>
        <w:autoSpaceDE w:val="0"/>
        <w:autoSpaceDN w:val="0"/>
        <w:adjustRightInd w:val="0"/>
        <w:spacing w:line="360" w:lineRule="auto"/>
        <w:jc w:val="both"/>
        <w:rPr>
          <w:rFonts w:ascii="Comic Sans MS" w:hAnsi="Comic Sans MS" w:cs="Arial"/>
        </w:rPr>
      </w:pPr>
    </w:p>
    <w:p w:rsidR="00196DEB" w:rsidRPr="00542B09" w:rsidRDefault="00196DEB" w:rsidP="00196DEB">
      <w:pPr>
        <w:autoSpaceDE w:val="0"/>
        <w:autoSpaceDN w:val="0"/>
        <w:adjustRightInd w:val="0"/>
        <w:spacing w:line="360" w:lineRule="auto"/>
        <w:jc w:val="both"/>
        <w:rPr>
          <w:rFonts w:ascii="Comic Sans MS" w:hAnsi="Comic Sans MS" w:cs="Arial"/>
        </w:rPr>
      </w:pPr>
    </w:p>
    <w:p w:rsidR="00196DEB" w:rsidRPr="00542B09" w:rsidRDefault="00196DEB" w:rsidP="00196DEB">
      <w:pPr>
        <w:autoSpaceDE w:val="0"/>
        <w:autoSpaceDN w:val="0"/>
        <w:adjustRightInd w:val="0"/>
        <w:spacing w:line="360" w:lineRule="auto"/>
        <w:jc w:val="both"/>
        <w:rPr>
          <w:rFonts w:ascii="Comic Sans MS" w:hAnsi="Comic Sans MS" w:cs="Arial"/>
        </w:rPr>
      </w:pPr>
      <w:r w:rsidRPr="00542B09">
        <w:rPr>
          <w:rFonts w:ascii="Comic Sans MS" w:hAnsi="Comic Sans MS" w:cs="Arial"/>
        </w:rPr>
        <w:t>In merito alla congruità degli accantonamenti del fondo crediti di dubbia esigibilità, avendo l’ente adeguato a seguito delle maggiori entrate previste sulle sanzioni per infrazioni al codice della strada il Collegio ritiene l’importo accantonato congruo.</w:t>
      </w:r>
    </w:p>
    <w:p w:rsidR="00196DEB" w:rsidRPr="00542B09" w:rsidRDefault="00196DEB" w:rsidP="00196DEB">
      <w:pPr>
        <w:autoSpaceDE w:val="0"/>
        <w:autoSpaceDN w:val="0"/>
        <w:adjustRightInd w:val="0"/>
        <w:spacing w:line="360" w:lineRule="auto"/>
        <w:jc w:val="both"/>
        <w:rPr>
          <w:rFonts w:ascii="Comic Sans MS" w:hAnsi="Comic Sans MS" w:cs="Arial"/>
        </w:rPr>
      </w:pPr>
    </w:p>
    <w:p w:rsidR="00196DEB" w:rsidRPr="00542B09" w:rsidRDefault="00196DEB" w:rsidP="00196DEB">
      <w:pPr>
        <w:autoSpaceDE w:val="0"/>
        <w:autoSpaceDN w:val="0"/>
        <w:adjustRightInd w:val="0"/>
        <w:spacing w:line="360" w:lineRule="auto"/>
        <w:jc w:val="both"/>
        <w:rPr>
          <w:rFonts w:ascii="Comic Sans MS" w:hAnsi="Comic Sans MS" w:cs="Arial"/>
        </w:rPr>
      </w:pPr>
      <w:r w:rsidRPr="00542B09">
        <w:rPr>
          <w:rFonts w:ascii="Comic Sans MS" w:hAnsi="Comic Sans MS" w:cs="Arial"/>
        </w:rPr>
        <w:t>In merito alla congruità degli accantonamenti al fondo rischi il Collegio non ha nulla  da rilevare.</w:t>
      </w:r>
    </w:p>
    <w:p w:rsidR="00196DEB" w:rsidRPr="00542B09" w:rsidRDefault="00196DEB" w:rsidP="00196DEB">
      <w:pPr>
        <w:autoSpaceDE w:val="0"/>
        <w:autoSpaceDN w:val="0"/>
        <w:adjustRightInd w:val="0"/>
        <w:spacing w:line="360" w:lineRule="auto"/>
        <w:jc w:val="both"/>
        <w:rPr>
          <w:rFonts w:ascii="Comic Sans MS" w:hAnsi="Comic Sans MS" w:cs="Arial"/>
        </w:rPr>
      </w:pPr>
    </w:p>
    <w:p w:rsidR="00196DEB" w:rsidRPr="00542B09" w:rsidRDefault="00196DEB" w:rsidP="00196DEB">
      <w:pPr>
        <w:autoSpaceDE w:val="0"/>
        <w:autoSpaceDN w:val="0"/>
        <w:adjustRightInd w:val="0"/>
        <w:spacing w:line="360" w:lineRule="auto"/>
        <w:jc w:val="both"/>
        <w:rPr>
          <w:rFonts w:ascii="Comic Sans MS" w:hAnsi="Comic Sans MS" w:cs="Arial"/>
        </w:rPr>
      </w:pPr>
      <w:r w:rsidRPr="00542B09">
        <w:rPr>
          <w:rFonts w:ascii="Comic Sans MS" w:hAnsi="Comic Sans MS" w:cs="Arial"/>
        </w:rPr>
        <w:t xml:space="preserve">Il Collegio procede ora all’analisi delle variazioni di bilancio proposte al Consiglio Comunale, riepilogate, </w:t>
      </w:r>
      <w:r w:rsidRPr="00542B09">
        <w:rPr>
          <w:rFonts w:ascii="Comic Sans MS" w:hAnsi="Comic Sans MS" w:cs="Arial"/>
          <w:b/>
          <w:u w:val="single"/>
        </w:rPr>
        <w:t>per titoli</w:t>
      </w:r>
      <w:r w:rsidRPr="00542B09">
        <w:rPr>
          <w:rFonts w:ascii="Comic Sans MS" w:hAnsi="Comic Sans MS" w:cs="Arial"/>
        </w:rPr>
        <w:t>, come segue:</w:t>
      </w:r>
    </w:p>
    <w:p w:rsidR="00196DEB" w:rsidRPr="00542B09" w:rsidRDefault="00196DEB" w:rsidP="00196DEB">
      <w:pPr>
        <w:rPr>
          <w:rFonts w:ascii="Comic Sans MS" w:hAnsi="Comic Sans MS" w:cs="BookAntiqua"/>
        </w:rPr>
      </w:pPr>
      <w:r w:rsidRPr="00542B09">
        <w:rPr>
          <w:rFonts w:ascii="Comic Sans MS" w:hAnsi="Comic Sans MS" w:cs="BookAntiqua"/>
        </w:rPr>
        <w:br w:type="page"/>
      </w:r>
    </w:p>
    <w:bookmarkStart w:id="1" w:name="_MON_1525351926"/>
    <w:bookmarkEnd w:id="1"/>
    <w:p w:rsidR="00196DEB" w:rsidRDefault="00196DEB" w:rsidP="00196DEB">
      <w:pPr>
        <w:ind w:right="-53"/>
      </w:pPr>
      <w:r>
        <w:object w:dxaOrig="9946" w:dyaOrig="123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615.5pt" o:ole="">
            <v:imagedata r:id="rId9" o:title=""/>
          </v:shape>
          <o:OLEObject Type="Embed" ProgID="Excel.Sheet.8" ShapeID="_x0000_i1025" DrawAspect="Content" ObjectID="_1685867391" r:id="rId10"/>
        </w:object>
      </w:r>
    </w:p>
    <w:p w:rsidR="00196DEB" w:rsidRDefault="00196DEB" w:rsidP="00196DEB">
      <w:pPr>
        <w:rPr>
          <w:rFonts w:ascii="BookAntiqua" w:hAnsi="BookAntiqua" w:cs="BookAntiqua"/>
        </w:rPr>
      </w:pPr>
      <w:r>
        <w:rPr>
          <w:rFonts w:ascii="BookAntiqua" w:hAnsi="BookAntiqua" w:cs="BookAntiqua"/>
        </w:rPr>
        <w:br w:type="page"/>
      </w:r>
    </w:p>
    <w:bookmarkStart w:id="2" w:name="_MON_1525351919"/>
    <w:bookmarkEnd w:id="2"/>
    <w:p w:rsidR="00196DEB" w:rsidRDefault="00196DEB" w:rsidP="00196DEB">
      <w:pPr>
        <w:ind w:right="-53"/>
      </w:pPr>
      <w:r>
        <w:object w:dxaOrig="9946" w:dyaOrig="12144">
          <v:shape id="_x0000_i1026" type="#_x0000_t75" style="width:496.5pt;height:607pt" o:ole="">
            <v:imagedata r:id="rId11" o:title=""/>
          </v:shape>
          <o:OLEObject Type="Embed" ProgID="Excel.Sheet.8" ShapeID="_x0000_i1026" DrawAspect="Content" ObjectID="_1685867392" r:id="rId12"/>
        </w:object>
      </w:r>
    </w:p>
    <w:p w:rsidR="00196DEB" w:rsidRDefault="00196DEB" w:rsidP="00196DEB">
      <w:pPr>
        <w:rPr>
          <w:rFonts w:ascii="BookAntiqua" w:hAnsi="BookAntiqua" w:cs="BookAntiqua"/>
        </w:rPr>
      </w:pPr>
      <w:r>
        <w:rPr>
          <w:rFonts w:ascii="BookAntiqua" w:hAnsi="BookAntiqua" w:cs="BookAntiqua"/>
        </w:rPr>
        <w:br w:type="page"/>
      </w:r>
    </w:p>
    <w:p w:rsidR="00196DEB" w:rsidRDefault="00EF77FE" w:rsidP="00196DEB">
      <w:pPr>
        <w:ind w:right="-53"/>
      </w:pPr>
      <w:r>
        <w:rPr>
          <w:noProof/>
        </w:rPr>
        <w:pict>
          <v:shape id="_x0000_s1026" type="#_x0000_t75" style="position:absolute;margin-left:0;margin-top:-.35pt;width:438.05pt;height:636pt;z-index:251657728;mso-position-horizontal:left">
            <v:imagedata r:id="rId13" o:title=""/>
            <w10:wrap type="square" side="right"/>
          </v:shape>
          <o:OLEObject Type="Embed" ProgID="Excel.Sheet.8" ShapeID="_x0000_s1026" DrawAspect="Content" ObjectID="_1685867395" r:id="rId14"/>
        </w:pict>
      </w:r>
    </w:p>
    <w:p w:rsidR="00196DEB" w:rsidRPr="007E21B1" w:rsidRDefault="00196DEB" w:rsidP="00196DEB"/>
    <w:p w:rsidR="00196DEB" w:rsidRPr="007E21B1" w:rsidRDefault="00196DEB" w:rsidP="00196DEB"/>
    <w:p w:rsidR="00196DEB" w:rsidRPr="007E21B1" w:rsidRDefault="00196DEB" w:rsidP="00196DEB"/>
    <w:p w:rsidR="00196DEB" w:rsidRPr="007E21B1" w:rsidRDefault="00196DEB" w:rsidP="00196DEB"/>
    <w:p w:rsidR="00196DEB" w:rsidRPr="007E21B1" w:rsidRDefault="00196DEB" w:rsidP="00196DEB"/>
    <w:p w:rsidR="00196DEB" w:rsidRPr="007E21B1" w:rsidRDefault="00196DEB" w:rsidP="00196DEB"/>
    <w:p w:rsidR="00196DEB" w:rsidRPr="007E21B1" w:rsidRDefault="00196DEB" w:rsidP="00196DEB"/>
    <w:p w:rsidR="00196DEB" w:rsidRPr="007E21B1" w:rsidRDefault="00196DEB" w:rsidP="00196DEB"/>
    <w:p w:rsidR="00196DEB" w:rsidRPr="007E21B1" w:rsidRDefault="00196DEB" w:rsidP="00196DEB"/>
    <w:p w:rsidR="00196DEB" w:rsidRPr="007E21B1" w:rsidRDefault="00196DEB" w:rsidP="00196DEB"/>
    <w:p w:rsidR="00196DEB" w:rsidRPr="007E21B1" w:rsidRDefault="00196DEB" w:rsidP="00196DEB"/>
    <w:p w:rsidR="00196DEB" w:rsidRPr="007E21B1" w:rsidRDefault="00196DEB" w:rsidP="00196DEB"/>
    <w:p w:rsidR="00196DEB" w:rsidRPr="007E21B1" w:rsidRDefault="00196DEB" w:rsidP="00196DEB"/>
    <w:p w:rsidR="00196DEB" w:rsidRPr="007E21B1" w:rsidRDefault="00196DEB" w:rsidP="00196DEB"/>
    <w:p w:rsidR="00196DEB" w:rsidRPr="007E21B1" w:rsidRDefault="00196DEB" w:rsidP="00196DEB"/>
    <w:p w:rsidR="00196DEB" w:rsidRPr="007E21B1" w:rsidRDefault="00196DEB" w:rsidP="00196DEB"/>
    <w:p w:rsidR="00196DEB" w:rsidRPr="007E21B1" w:rsidRDefault="00196DEB" w:rsidP="00196DEB"/>
    <w:p w:rsidR="00196DEB" w:rsidRDefault="00196DEB" w:rsidP="00196DEB">
      <w:pPr>
        <w:ind w:right="-53"/>
      </w:pPr>
    </w:p>
    <w:p w:rsidR="00196DEB" w:rsidRDefault="00196DEB" w:rsidP="00196DEB">
      <w:pPr>
        <w:ind w:right="-53"/>
      </w:pPr>
      <w:r>
        <w:br w:type="textWrapping" w:clear="all"/>
      </w:r>
    </w:p>
    <w:p w:rsidR="00196DEB" w:rsidRDefault="00196DEB" w:rsidP="00196DEB">
      <w:pPr>
        <w:rPr>
          <w:rFonts w:ascii="BookAntiqua" w:hAnsi="BookAntiqua" w:cs="BookAntiqua"/>
        </w:rPr>
      </w:pPr>
      <w:r>
        <w:rPr>
          <w:rFonts w:ascii="BookAntiqua" w:hAnsi="BookAntiqua" w:cs="BookAntiqua"/>
        </w:rPr>
        <w:br w:type="page"/>
      </w:r>
    </w:p>
    <w:bookmarkStart w:id="3" w:name="_MON_1525353006"/>
    <w:bookmarkEnd w:id="3"/>
    <w:p w:rsidR="00196DEB" w:rsidRDefault="00196DEB" w:rsidP="00196DEB">
      <w:pPr>
        <w:ind w:right="-53"/>
      </w:pPr>
      <w:r>
        <w:object w:dxaOrig="9552" w:dyaOrig="12302">
          <v:shape id="_x0000_i1027" type="#_x0000_t75" style="width:477pt;height:615.5pt" o:ole="">
            <v:imagedata r:id="rId15" o:title=""/>
          </v:shape>
          <o:OLEObject Type="Embed" ProgID="Excel.Sheet.8" ShapeID="_x0000_i1027" DrawAspect="Content" ObjectID="_1685867393" r:id="rId16"/>
        </w:object>
      </w:r>
    </w:p>
    <w:p w:rsidR="00196DEB" w:rsidRDefault="00196DEB" w:rsidP="00196DEB">
      <w:pPr>
        <w:autoSpaceDE w:val="0"/>
        <w:autoSpaceDN w:val="0"/>
        <w:adjustRightInd w:val="0"/>
        <w:spacing w:line="360" w:lineRule="auto"/>
        <w:jc w:val="both"/>
        <w:rPr>
          <w:rFonts w:ascii="Arial" w:hAnsi="Arial" w:cs="Arial"/>
        </w:rPr>
      </w:pPr>
    </w:p>
    <w:p w:rsidR="00196DEB" w:rsidRDefault="00196DEB" w:rsidP="00542B09">
      <w:pPr>
        <w:rPr>
          <w:rFonts w:ascii="Arial" w:hAnsi="Arial" w:cs="Arial"/>
        </w:rPr>
      </w:pPr>
      <w:r>
        <w:rPr>
          <w:rFonts w:ascii="Arial" w:hAnsi="Arial" w:cs="Arial"/>
        </w:rPr>
        <w:t>Le variazioni sono così riassunte:</w:t>
      </w:r>
    </w:p>
    <w:p w:rsidR="00196DEB" w:rsidRPr="00542B09" w:rsidRDefault="00196DEB" w:rsidP="00196DEB">
      <w:pPr>
        <w:pStyle w:val="Paragrafoelenco"/>
        <w:numPr>
          <w:ilvl w:val="0"/>
          <w:numId w:val="9"/>
        </w:numPr>
        <w:autoSpaceDE w:val="0"/>
        <w:autoSpaceDN w:val="0"/>
        <w:adjustRightInd w:val="0"/>
        <w:spacing w:after="0" w:line="360" w:lineRule="auto"/>
        <w:jc w:val="both"/>
        <w:rPr>
          <w:rFonts w:ascii="Comic Sans MS" w:hAnsi="Comic Sans MS" w:cs="Arial"/>
          <w:sz w:val="24"/>
          <w:szCs w:val="24"/>
        </w:rPr>
      </w:pPr>
      <w:r w:rsidRPr="00542B09">
        <w:rPr>
          <w:rFonts w:ascii="Comic Sans MS" w:hAnsi="Comic Sans MS" w:cs="Arial"/>
          <w:sz w:val="24"/>
          <w:szCs w:val="24"/>
        </w:rPr>
        <w:t>Parte corrente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1540"/>
        <w:gridCol w:w="1540"/>
        <w:gridCol w:w="1540"/>
      </w:tblGrid>
      <w:tr w:rsidR="00196DEB" w:rsidRPr="00542B09" w:rsidTr="00196DEB">
        <w:trPr>
          <w:trHeight w:val="255"/>
        </w:trPr>
        <w:tc>
          <w:tcPr>
            <w:tcW w:w="436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 </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2016</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2017</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2018</w:t>
            </w:r>
          </w:p>
        </w:tc>
      </w:tr>
      <w:tr w:rsidR="00196DEB" w:rsidRPr="00542B09" w:rsidTr="00196DEB">
        <w:trPr>
          <w:trHeight w:val="255"/>
        </w:trPr>
        <w:tc>
          <w:tcPr>
            <w:tcW w:w="4360" w:type="dxa"/>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Minori entrate</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31.098.168,57</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21.550.651,06</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21.568.651,06</w:t>
            </w:r>
          </w:p>
        </w:tc>
      </w:tr>
      <w:tr w:rsidR="00196DEB" w:rsidRPr="00542B09" w:rsidTr="00196DEB">
        <w:trPr>
          <w:trHeight w:val="510"/>
        </w:trPr>
        <w:tc>
          <w:tcPr>
            <w:tcW w:w="4360" w:type="dxa"/>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Minori entrate derivanti da permessi di costruire destinati a spesa corrente</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2.500.000,00</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0,00</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0,00</w:t>
            </w:r>
          </w:p>
        </w:tc>
      </w:tr>
      <w:tr w:rsidR="00196DEB" w:rsidRPr="00542B09" w:rsidTr="00196DEB">
        <w:trPr>
          <w:trHeight w:val="255"/>
        </w:trPr>
        <w:tc>
          <w:tcPr>
            <w:tcW w:w="4360" w:type="dxa"/>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Maggiori entrate</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41.201.004,51</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37.191.115,86</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26.795.978,04</w:t>
            </w:r>
          </w:p>
        </w:tc>
      </w:tr>
      <w:tr w:rsidR="00196DEB" w:rsidRPr="00542B09" w:rsidTr="00196DEB">
        <w:trPr>
          <w:trHeight w:val="255"/>
        </w:trPr>
        <w:tc>
          <w:tcPr>
            <w:tcW w:w="4360" w:type="dxa"/>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18"/>
                <w:szCs w:val="18"/>
                <w:u w:color="000000"/>
                <w:bdr w:val="nil"/>
              </w:rPr>
            </w:pPr>
            <w:r w:rsidRPr="00542B09">
              <w:rPr>
                <w:rFonts w:ascii="Arial" w:eastAsia="Arial Unicode MS" w:hAnsi="Arial" w:cs="Arial"/>
                <w:b/>
                <w:bCs/>
                <w:color w:val="000000"/>
                <w:sz w:val="18"/>
                <w:szCs w:val="18"/>
                <w:u w:color="000000"/>
                <w:bdr w:val="nil"/>
              </w:rPr>
              <w:t>Differenza entrate</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18"/>
                <w:szCs w:val="18"/>
                <w:u w:color="000000"/>
                <w:bdr w:val="nil"/>
              </w:rPr>
            </w:pPr>
            <w:r w:rsidRPr="00542B09">
              <w:rPr>
                <w:rFonts w:ascii="Arial" w:eastAsia="Arial Unicode MS" w:hAnsi="Arial" w:cs="Arial"/>
                <w:b/>
                <w:bCs/>
                <w:color w:val="000000"/>
                <w:sz w:val="18"/>
                <w:szCs w:val="18"/>
                <w:u w:color="000000"/>
                <w:bdr w:val="nil"/>
              </w:rPr>
              <w:t>7.602.835,94</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18"/>
                <w:szCs w:val="18"/>
                <w:u w:color="000000"/>
                <w:bdr w:val="nil"/>
              </w:rPr>
            </w:pPr>
            <w:r w:rsidRPr="00542B09">
              <w:rPr>
                <w:rFonts w:ascii="Arial" w:eastAsia="Arial Unicode MS" w:hAnsi="Arial" w:cs="Arial"/>
                <w:b/>
                <w:bCs/>
                <w:color w:val="000000"/>
                <w:sz w:val="18"/>
                <w:szCs w:val="18"/>
                <w:u w:color="000000"/>
                <w:bdr w:val="nil"/>
              </w:rPr>
              <w:t>15.640.464,80</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18"/>
                <w:szCs w:val="18"/>
                <w:u w:color="000000"/>
                <w:bdr w:val="nil"/>
              </w:rPr>
            </w:pPr>
            <w:r w:rsidRPr="00542B09">
              <w:rPr>
                <w:rFonts w:ascii="Arial" w:eastAsia="Arial Unicode MS" w:hAnsi="Arial" w:cs="Arial"/>
                <w:b/>
                <w:bCs/>
                <w:color w:val="000000"/>
                <w:sz w:val="18"/>
                <w:szCs w:val="18"/>
                <w:u w:color="000000"/>
                <w:bdr w:val="nil"/>
              </w:rPr>
              <w:t>5.227.326,98</w:t>
            </w:r>
          </w:p>
        </w:tc>
      </w:tr>
      <w:tr w:rsidR="00196DEB" w:rsidRPr="00542B09" w:rsidTr="00196DEB">
        <w:trPr>
          <w:trHeight w:val="255"/>
        </w:trPr>
        <w:tc>
          <w:tcPr>
            <w:tcW w:w="4360" w:type="dxa"/>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 xml:space="preserve">Minori spese </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9.937.032,57</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6.320,70</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84.705,04</w:t>
            </w:r>
          </w:p>
        </w:tc>
      </w:tr>
      <w:tr w:rsidR="00196DEB" w:rsidRPr="00542B09" w:rsidTr="00196DEB">
        <w:trPr>
          <w:trHeight w:val="255"/>
        </w:trPr>
        <w:tc>
          <w:tcPr>
            <w:tcW w:w="4360" w:type="dxa"/>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Maggiori spese</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17.539.868,51</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15.646.785,50</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5.312.032,02</w:t>
            </w:r>
          </w:p>
        </w:tc>
      </w:tr>
      <w:tr w:rsidR="00196DEB" w:rsidRPr="00542B09" w:rsidTr="00196DEB">
        <w:trPr>
          <w:trHeight w:val="255"/>
        </w:trPr>
        <w:tc>
          <w:tcPr>
            <w:tcW w:w="4360" w:type="dxa"/>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18"/>
                <w:szCs w:val="18"/>
                <w:u w:color="000000"/>
                <w:bdr w:val="nil"/>
              </w:rPr>
            </w:pPr>
            <w:r w:rsidRPr="00542B09">
              <w:rPr>
                <w:rFonts w:ascii="Arial" w:eastAsia="Arial Unicode MS" w:hAnsi="Arial" w:cs="Arial"/>
                <w:b/>
                <w:bCs/>
                <w:color w:val="000000"/>
                <w:sz w:val="18"/>
                <w:szCs w:val="18"/>
                <w:u w:color="000000"/>
                <w:bdr w:val="nil"/>
              </w:rPr>
              <w:t>Differenza spese</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18"/>
                <w:szCs w:val="18"/>
                <w:u w:color="000000"/>
                <w:bdr w:val="nil"/>
              </w:rPr>
            </w:pPr>
            <w:r w:rsidRPr="00542B09">
              <w:rPr>
                <w:rFonts w:ascii="Arial" w:eastAsia="Arial Unicode MS" w:hAnsi="Arial" w:cs="Arial"/>
                <w:b/>
                <w:bCs/>
                <w:color w:val="000000"/>
                <w:sz w:val="18"/>
                <w:szCs w:val="18"/>
                <w:u w:color="000000"/>
                <w:bdr w:val="nil"/>
              </w:rPr>
              <w:t>7.602.835,94</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18"/>
                <w:szCs w:val="18"/>
                <w:u w:color="000000"/>
                <w:bdr w:val="nil"/>
              </w:rPr>
            </w:pPr>
            <w:r w:rsidRPr="00542B09">
              <w:rPr>
                <w:rFonts w:ascii="Arial" w:eastAsia="Arial Unicode MS" w:hAnsi="Arial" w:cs="Arial"/>
                <w:b/>
                <w:bCs/>
                <w:color w:val="000000"/>
                <w:sz w:val="18"/>
                <w:szCs w:val="18"/>
                <w:u w:color="000000"/>
                <w:bdr w:val="nil"/>
              </w:rPr>
              <w:t>15.640.464,80</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18"/>
                <w:szCs w:val="18"/>
                <w:u w:color="000000"/>
                <w:bdr w:val="nil"/>
              </w:rPr>
            </w:pPr>
            <w:r w:rsidRPr="00542B09">
              <w:rPr>
                <w:rFonts w:ascii="Arial" w:eastAsia="Arial Unicode MS" w:hAnsi="Arial" w:cs="Arial"/>
                <w:b/>
                <w:bCs/>
                <w:color w:val="000000"/>
                <w:sz w:val="18"/>
                <w:szCs w:val="18"/>
                <w:u w:color="000000"/>
                <w:bdr w:val="nil"/>
              </w:rPr>
              <w:t>5.227.326,98</w:t>
            </w:r>
          </w:p>
        </w:tc>
      </w:tr>
      <w:tr w:rsidR="00196DEB" w:rsidRPr="00542B09" w:rsidTr="00196DEB">
        <w:trPr>
          <w:trHeight w:val="255"/>
        </w:trPr>
        <w:tc>
          <w:tcPr>
            <w:tcW w:w="4360" w:type="dxa"/>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18"/>
                <w:szCs w:val="18"/>
                <w:u w:color="000000"/>
                <w:bdr w:val="nil"/>
              </w:rPr>
            </w:pPr>
            <w:r w:rsidRPr="00542B09">
              <w:rPr>
                <w:rFonts w:ascii="Arial" w:eastAsia="Arial Unicode MS" w:hAnsi="Arial" w:cs="Arial"/>
                <w:b/>
                <w:bCs/>
                <w:color w:val="000000"/>
                <w:sz w:val="18"/>
                <w:szCs w:val="18"/>
                <w:u w:color="000000"/>
                <w:bdr w:val="nil"/>
              </w:rPr>
              <w:t xml:space="preserve">Differenza entrata/spese </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0,00</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0,00</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0,00</w:t>
            </w:r>
          </w:p>
        </w:tc>
      </w:tr>
    </w:tbl>
    <w:p w:rsidR="00196DEB" w:rsidRPr="00542B09" w:rsidRDefault="00196DEB" w:rsidP="00196DEB">
      <w:pPr>
        <w:autoSpaceDE w:val="0"/>
        <w:autoSpaceDN w:val="0"/>
        <w:adjustRightInd w:val="0"/>
        <w:spacing w:line="360" w:lineRule="auto"/>
        <w:jc w:val="both"/>
        <w:rPr>
          <w:rFonts w:ascii="Arial" w:hAnsi="Arial" w:cs="Arial"/>
          <w:sz w:val="20"/>
          <w:szCs w:val="20"/>
        </w:rPr>
      </w:pPr>
    </w:p>
    <w:p w:rsidR="00196DEB" w:rsidRPr="00542B09" w:rsidRDefault="00196DEB" w:rsidP="00196DEB">
      <w:pPr>
        <w:pStyle w:val="Paragrafoelenco"/>
        <w:numPr>
          <w:ilvl w:val="0"/>
          <w:numId w:val="9"/>
        </w:numPr>
        <w:autoSpaceDE w:val="0"/>
        <w:autoSpaceDN w:val="0"/>
        <w:adjustRightInd w:val="0"/>
        <w:spacing w:after="0" w:line="360" w:lineRule="auto"/>
        <w:jc w:val="both"/>
        <w:rPr>
          <w:rFonts w:ascii="Comic Sans MS" w:hAnsi="Comic Sans MS" w:cs="Arial"/>
          <w:sz w:val="24"/>
          <w:szCs w:val="24"/>
        </w:rPr>
      </w:pPr>
      <w:r w:rsidRPr="00542B09">
        <w:rPr>
          <w:rFonts w:ascii="Comic Sans MS" w:hAnsi="Comic Sans MS" w:cs="Arial"/>
          <w:sz w:val="24"/>
          <w:szCs w:val="24"/>
        </w:rPr>
        <w:t>Parte investimenti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1540"/>
        <w:gridCol w:w="1540"/>
        <w:gridCol w:w="1540"/>
      </w:tblGrid>
      <w:tr w:rsidR="00196DEB" w:rsidRPr="00542B09" w:rsidTr="00196DEB">
        <w:trPr>
          <w:trHeight w:val="255"/>
        </w:trPr>
        <w:tc>
          <w:tcPr>
            <w:tcW w:w="436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 </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2016</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2017</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2018</w:t>
            </w:r>
          </w:p>
        </w:tc>
      </w:tr>
      <w:tr w:rsidR="00196DEB" w:rsidRPr="00542B09" w:rsidTr="00196DEB">
        <w:trPr>
          <w:trHeight w:val="255"/>
        </w:trPr>
        <w:tc>
          <w:tcPr>
            <w:tcW w:w="4360" w:type="dxa"/>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 xml:space="preserve">Minori entrate </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4.734.306,51</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415.490,48</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1.182.177,04</w:t>
            </w:r>
          </w:p>
        </w:tc>
      </w:tr>
      <w:tr w:rsidR="00196DEB" w:rsidRPr="00542B09" w:rsidTr="00196DEB">
        <w:trPr>
          <w:trHeight w:val="255"/>
        </w:trPr>
        <w:tc>
          <w:tcPr>
            <w:tcW w:w="4360" w:type="dxa"/>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di cui:</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 </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 </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 </w:t>
            </w:r>
          </w:p>
        </w:tc>
      </w:tr>
      <w:tr w:rsidR="00196DEB" w:rsidRPr="00542B09" w:rsidTr="00196DEB">
        <w:trPr>
          <w:trHeight w:val="510"/>
        </w:trPr>
        <w:tc>
          <w:tcPr>
            <w:tcW w:w="4360" w:type="dxa"/>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entrate da proventi per permessi a costruire e sanzioni a parte corrente</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2.500.000,00</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 </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 </w:t>
            </w:r>
          </w:p>
        </w:tc>
      </w:tr>
      <w:tr w:rsidR="00196DEB" w:rsidRPr="00542B09" w:rsidTr="00196DEB">
        <w:trPr>
          <w:trHeight w:val="255"/>
        </w:trPr>
        <w:tc>
          <w:tcPr>
            <w:tcW w:w="4360" w:type="dxa"/>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Maggiori entrate</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150.000,00</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1.476.438,88</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1.582.177,04</w:t>
            </w:r>
          </w:p>
        </w:tc>
      </w:tr>
      <w:tr w:rsidR="00196DEB" w:rsidRPr="00542B09" w:rsidTr="00196DEB">
        <w:trPr>
          <w:trHeight w:val="510"/>
        </w:trPr>
        <w:tc>
          <w:tcPr>
            <w:tcW w:w="4360" w:type="dxa"/>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Avanzo di amministrazione vincolato/destinato a spesa di investimenti e Fondi</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3.308.359,47</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13.785.627,30</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 </w:t>
            </w:r>
          </w:p>
        </w:tc>
      </w:tr>
      <w:tr w:rsidR="00196DEB" w:rsidRPr="00542B09" w:rsidTr="00196DEB">
        <w:trPr>
          <w:trHeight w:val="255"/>
        </w:trPr>
        <w:tc>
          <w:tcPr>
            <w:tcW w:w="4360" w:type="dxa"/>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18"/>
                <w:szCs w:val="18"/>
                <w:u w:color="000000"/>
                <w:bdr w:val="nil"/>
              </w:rPr>
            </w:pPr>
            <w:r w:rsidRPr="00542B09">
              <w:rPr>
                <w:rFonts w:ascii="Arial" w:eastAsia="Arial Unicode MS" w:hAnsi="Arial" w:cs="Arial"/>
                <w:b/>
                <w:bCs/>
                <w:color w:val="000000"/>
                <w:sz w:val="18"/>
                <w:szCs w:val="18"/>
                <w:u w:color="000000"/>
                <w:bdr w:val="nil"/>
              </w:rPr>
              <w:t>Maggiori entrate destinate a spese di investimenti</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18"/>
                <w:szCs w:val="18"/>
                <w:u w:color="000000"/>
                <w:bdr w:val="nil"/>
              </w:rPr>
            </w:pPr>
            <w:r w:rsidRPr="00542B09">
              <w:rPr>
                <w:rFonts w:ascii="Arial" w:eastAsia="Arial Unicode MS" w:hAnsi="Arial" w:cs="Arial"/>
                <w:b/>
                <w:bCs/>
                <w:color w:val="000000"/>
                <w:sz w:val="18"/>
                <w:szCs w:val="18"/>
                <w:u w:color="000000"/>
                <w:bdr w:val="nil"/>
              </w:rPr>
              <w:t>1.224.052,96</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18"/>
                <w:szCs w:val="18"/>
                <w:u w:color="000000"/>
                <w:bdr w:val="nil"/>
              </w:rPr>
            </w:pPr>
            <w:r w:rsidRPr="00542B09">
              <w:rPr>
                <w:rFonts w:ascii="Arial" w:eastAsia="Arial Unicode MS" w:hAnsi="Arial" w:cs="Arial"/>
                <w:b/>
                <w:bCs/>
                <w:color w:val="000000"/>
                <w:sz w:val="18"/>
                <w:szCs w:val="18"/>
                <w:u w:color="000000"/>
                <w:bdr w:val="nil"/>
              </w:rPr>
              <w:t>14.846.575,70</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18"/>
                <w:szCs w:val="18"/>
                <w:u w:color="000000"/>
                <w:bdr w:val="nil"/>
              </w:rPr>
            </w:pPr>
            <w:r w:rsidRPr="00542B09">
              <w:rPr>
                <w:rFonts w:ascii="Arial" w:eastAsia="Arial Unicode MS" w:hAnsi="Arial" w:cs="Arial"/>
                <w:b/>
                <w:bCs/>
                <w:color w:val="000000"/>
                <w:sz w:val="18"/>
                <w:szCs w:val="18"/>
                <w:u w:color="000000"/>
                <w:bdr w:val="nil"/>
              </w:rPr>
              <w:t>400.000,00</w:t>
            </w:r>
          </w:p>
        </w:tc>
      </w:tr>
      <w:tr w:rsidR="00196DEB" w:rsidRPr="00542B09" w:rsidTr="00196DEB">
        <w:trPr>
          <w:trHeight w:val="255"/>
        </w:trPr>
        <w:tc>
          <w:tcPr>
            <w:tcW w:w="4360" w:type="dxa"/>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Minori spese per investimenti</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980.735,71</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248.078,09</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30.000,00</w:t>
            </w:r>
          </w:p>
        </w:tc>
      </w:tr>
      <w:tr w:rsidR="00196DEB" w:rsidRPr="00542B09" w:rsidTr="00196DEB">
        <w:trPr>
          <w:trHeight w:val="255"/>
        </w:trPr>
        <w:tc>
          <w:tcPr>
            <w:tcW w:w="4360" w:type="dxa"/>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Maggiori spese per investimenti</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2.204.788,67</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15.094.653,79</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430.000,00</w:t>
            </w:r>
          </w:p>
        </w:tc>
      </w:tr>
      <w:tr w:rsidR="00196DEB" w:rsidRPr="00542B09" w:rsidTr="00196DEB">
        <w:trPr>
          <w:trHeight w:val="255"/>
        </w:trPr>
        <w:tc>
          <w:tcPr>
            <w:tcW w:w="4360" w:type="dxa"/>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18"/>
                <w:szCs w:val="18"/>
                <w:u w:color="000000"/>
                <w:bdr w:val="nil"/>
              </w:rPr>
            </w:pPr>
            <w:r w:rsidRPr="00542B09">
              <w:rPr>
                <w:rFonts w:ascii="Arial" w:eastAsia="Arial Unicode MS" w:hAnsi="Arial" w:cs="Arial"/>
                <w:b/>
                <w:bCs/>
                <w:color w:val="000000"/>
                <w:sz w:val="18"/>
                <w:szCs w:val="18"/>
                <w:u w:color="000000"/>
                <w:bdr w:val="nil"/>
              </w:rPr>
              <w:t>Maggiori investimenti</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18"/>
                <w:szCs w:val="18"/>
                <w:u w:color="000000"/>
                <w:bdr w:val="nil"/>
              </w:rPr>
            </w:pPr>
            <w:r w:rsidRPr="00542B09">
              <w:rPr>
                <w:rFonts w:ascii="Arial" w:eastAsia="Arial Unicode MS" w:hAnsi="Arial" w:cs="Arial"/>
                <w:b/>
                <w:bCs/>
                <w:color w:val="000000"/>
                <w:sz w:val="18"/>
                <w:szCs w:val="18"/>
                <w:u w:color="000000"/>
                <w:bdr w:val="nil"/>
              </w:rPr>
              <w:t>1.224.052,96</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18"/>
                <w:szCs w:val="18"/>
                <w:u w:color="000000"/>
                <w:bdr w:val="nil"/>
              </w:rPr>
            </w:pPr>
            <w:r w:rsidRPr="00542B09">
              <w:rPr>
                <w:rFonts w:ascii="Arial" w:eastAsia="Arial Unicode MS" w:hAnsi="Arial" w:cs="Arial"/>
                <w:b/>
                <w:bCs/>
                <w:color w:val="000000"/>
                <w:sz w:val="18"/>
                <w:szCs w:val="18"/>
                <w:u w:color="000000"/>
                <w:bdr w:val="nil"/>
              </w:rPr>
              <w:t>14.846.575,70</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18"/>
                <w:szCs w:val="18"/>
                <w:u w:color="000000"/>
                <w:bdr w:val="nil"/>
              </w:rPr>
            </w:pPr>
            <w:r w:rsidRPr="00542B09">
              <w:rPr>
                <w:rFonts w:ascii="Arial" w:eastAsia="Arial Unicode MS" w:hAnsi="Arial" w:cs="Arial"/>
                <w:b/>
                <w:bCs/>
                <w:color w:val="000000"/>
                <w:sz w:val="18"/>
                <w:szCs w:val="18"/>
                <w:u w:color="000000"/>
                <w:bdr w:val="nil"/>
              </w:rPr>
              <w:t>400.000,00</w:t>
            </w:r>
          </w:p>
        </w:tc>
      </w:tr>
      <w:tr w:rsidR="00196DEB" w:rsidRPr="00542B09" w:rsidTr="00196DEB">
        <w:trPr>
          <w:trHeight w:val="255"/>
        </w:trPr>
        <w:tc>
          <w:tcPr>
            <w:tcW w:w="4360" w:type="dxa"/>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18"/>
                <w:szCs w:val="18"/>
                <w:u w:color="000000"/>
                <w:bdr w:val="nil"/>
              </w:rPr>
            </w:pPr>
            <w:r w:rsidRPr="00542B09">
              <w:rPr>
                <w:rFonts w:ascii="Arial" w:eastAsia="Arial Unicode MS" w:hAnsi="Arial" w:cs="Arial"/>
                <w:b/>
                <w:bCs/>
                <w:color w:val="000000"/>
                <w:sz w:val="18"/>
                <w:szCs w:val="18"/>
                <w:u w:color="000000"/>
                <w:bdr w:val="nil"/>
              </w:rPr>
              <w:t xml:space="preserve">Differenza entrata/spese </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0,00</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0,00</w:t>
            </w:r>
          </w:p>
        </w:tc>
        <w:tc>
          <w:tcPr>
            <w:tcW w:w="1540" w:type="dxa"/>
            <w:noWrap/>
            <w:hideMark/>
          </w:tcPr>
          <w:p w:rsidR="00196DEB" w:rsidRPr="00542B09"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18"/>
                <w:szCs w:val="18"/>
                <w:u w:color="000000"/>
                <w:bdr w:val="nil"/>
              </w:rPr>
            </w:pPr>
            <w:r w:rsidRPr="00542B09">
              <w:rPr>
                <w:rFonts w:ascii="Arial" w:eastAsia="Arial Unicode MS" w:hAnsi="Arial" w:cs="Arial"/>
                <w:color w:val="000000"/>
                <w:sz w:val="18"/>
                <w:szCs w:val="18"/>
                <w:u w:color="000000"/>
                <w:bdr w:val="nil"/>
              </w:rPr>
              <w:t>0,00</w:t>
            </w:r>
          </w:p>
        </w:tc>
      </w:tr>
    </w:tbl>
    <w:p w:rsidR="00196DEB" w:rsidRPr="00542B09" w:rsidRDefault="00196DEB" w:rsidP="00196DEB">
      <w:pPr>
        <w:autoSpaceDE w:val="0"/>
        <w:autoSpaceDN w:val="0"/>
        <w:adjustRightInd w:val="0"/>
        <w:spacing w:line="360" w:lineRule="auto"/>
        <w:jc w:val="both"/>
        <w:rPr>
          <w:rFonts w:ascii="Arial" w:hAnsi="Arial" w:cs="Arial"/>
          <w:sz w:val="18"/>
          <w:szCs w:val="18"/>
        </w:rPr>
      </w:pPr>
    </w:p>
    <w:p w:rsidR="00196DEB" w:rsidRPr="00542B09" w:rsidRDefault="00196DEB" w:rsidP="00196DEB">
      <w:pPr>
        <w:autoSpaceDE w:val="0"/>
        <w:autoSpaceDN w:val="0"/>
        <w:adjustRightInd w:val="0"/>
        <w:spacing w:line="360" w:lineRule="auto"/>
        <w:jc w:val="center"/>
        <w:rPr>
          <w:rFonts w:ascii="Comic Sans MS" w:hAnsi="Comic Sans MS" w:cs="BookAntiqua"/>
        </w:rPr>
      </w:pPr>
    </w:p>
    <w:p w:rsidR="00196DEB" w:rsidRPr="00542B09" w:rsidRDefault="00196DEB" w:rsidP="00542B09">
      <w:pPr>
        <w:autoSpaceDE w:val="0"/>
        <w:autoSpaceDN w:val="0"/>
        <w:adjustRightInd w:val="0"/>
        <w:spacing w:line="360" w:lineRule="auto"/>
        <w:jc w:val="both"/>
        <w:rPr>
          <w:rFonts w:ascii="Comic Sans MS" w:hAnsi="Comic Sans MS" w:cs="Arial"/>
        </w:rPr>
      </w:pPr>
      <w:r w:rsidRPr="00542B09">
        <w:rPr>
          <w:rFonts w:ascii="Comic Sans MS" w:hAnsi="Comic Sans MS" w:cs="Arial"/>
        </w:rPr>
        <w:t>Il Collegio attesta che le variazioni proposte sono:</w:t>
      </w:r>
    </w:p>
    <w:p w:rsidR="00196DEB" w:rsidRPr="00542B09" w:rsidRDefault="00196DEB" w:rsidP="00542B09">
      <w:pPr>
        <w:pStyle w:val="Paragrafoelenco"/>
        <w:numPr>
          <w:ilvl w:val="0"/>
          <w:numId w:val="8"/>
        </w:numPr>
        <w:autoSpaceDE w:val="0"/>
        <w:autoSpaceDN w:val="0"/>
        <w:adjustRightInd w:val="0"/>
        <w:spacing w:after="0" w:line="360" w:lineRule="auto"/>
        <w:jc w:val="both"/>
        <w:rPr>
          <w:rFonts w:ascii="Comic Sans MS" w:hAnsi="Comic Sans MS" w:cs="Arial"/>
          <w:sz w:val="24"/>
          <w:szCs w:val="24"/>
        </w:rPr>
      </w:pPr>
      <w:r w:rsidRPr="00542B09">
        <w:rPr>
          <w:rFonts w:ascii="Comic Sans MS" w:hAnsi="Comic Sans MS" w:cs="Arial"/>
          <w:sz w:val="24"/>
          <w:szCs w:val="24"/>
        </w:rPr>
        <w:t>Attendibili sulla base dell’esigibilità delle entrate previste</w:t>
      </w:r>
    </w:p>
    <w:p w:rsidR="00196DEB" w:rsidRPr="00542B09" w:rsidRDefault="00196DEB" w:rsidP="00542B09">
      <w:pPr>
        <w:pStyle w:val="Paragrafoelenco"/>
        <w:numPr>
          <w:ilvl w:val="0"/>
          <w:numId w:val="8"/>
        </w:numPr>
        <w:autoSpaceDE w:val="0"/>
        <w:autoSpaceDN w:val="0"/>
        <w:adjustRightInd w:val="0"/>
        <w:spacing w:after="0" w:line="360" w:lineRule="auto"/>
        <w:jc w:val="both"/>
        <w:rPr>
          <w:rFonts w:ascii="Comic Sans MS" w:hAnsi="Comic Sans MS" w:cs="Arial"/>
          <w:sz w:val="24"/>
          <w:szCs w:val="24"/>
        </w:rPr>
      </w:pPr>
      <w:r w:rsidRPr="00542B09">
        <w:rPr>
          <w:rFonts w:ascii="Comic Sans MS" w:hAnsi="Comic Sans MS" w:cs="Arial"/>
          <w:sz w:val="24"/>
          <w:szCs w:val="24"/>
        </w:rPr>
        <w:t>Congrue sulla base delle spese da impegnare e della loro esigibilità</w:t>
      </w:r>
    </w:p>
    <w:p w:rsidR="00196DEB" w:rsidRPr="00542B09" w:rsidRDefault="00196DEB" w:rsidP="00542B09">
      <w:pPr>
        <w:pStyle w:val="Paragrafoelenco"/>
        <w:numPr>
          <w:ilvl w:val="0"/>
          <w:numId w:val="8"/>
        </w:numPr>
        <w:autoSpaceDE w:val="0"/>
        <w:autoSpaceDN w:val="0"/>
        <w:adjustRightInd w:val="0"/>
        <w:spacing w:after="0" w:line="360" w:lineRule="auto"/>
        <w:jc w:val="both"/>
        <w:rPr>
          <w:rFonts w:ascii="Comic Sans MS" w:hAnsi="Comic Sans MS" w:cs="Arial"/>
          <w:sz w:val="24"/>
          <w:szCs w:val="24"/>
        </w:rPr>
      </w:pPr>
      <w:r w:rsidRPr="00542B09">
        <w:rPr>
          <w:rFonts w:ascii="Comic Sans MS" w:hAnsi="Comic Sans MS" w:cs="Arial"/>
          <w:sz w:val="24"/>
          <w:szCs w:val="24"/>
        </w:rPr>
        <w:t>Coerenti in relazione al Dup e agli obiettivi di finanza pubblica</w:t>
      </w:r>
    </w:p>
    <w:p w:rsidR="00196DEB" w:rsidRPr="00542B09" w:rsidRDefault="00196DEB" w:rsidP="00542B09">
      <w:pPr>
        <w:spacing w:line="360" w:lineRule="auto"/>
        <w:rPr>
          <w:rFonts w:ascii="Comic Sans MS" w:hAnsi="Comic Sans MS" w:cs="Arial"/>
        </w:rPr>
      </w:pPr>
      <w:r w:rsidRPr="00542B09">
        <w:rPr>
          <w:rFonts w:ascii="Comic Sans MS" w:hAnsi="Comic Sans MS" w:cs="Arial"/>
        </w:rPr>
        <w:t>Il Collegio ha verificato che con la variazione apportata in bilancio gli equilibri richiesti dal comma 6 dell’art.162 del Tuel sono così assicurati:</w:t>
      </w:r>
    </w:p>
    <w:p w:rsidR="00196DEB" w:rsidRDefault="00196DEB" w:rsidP="00542B09">
      <w:pPr>
        <w:spacing w:line="360" w:lineRule="auto"/>
        <w:rPr>
          <w:rFonts w:ascii="Arial" w:hAnsi="Arial" w:cs="Arial"/>
        </w:rPr>
      </w:pPr>
    </w:p>
    <w:tbl>
      <w:tblPr>
        <w:tblW w:w="8480" w:type="dxa"/>
        <w:tblInd w:w="70" w:type="dxa"/>
        <w:tblCellMar>
          <w:left w:w="70" w:type="dxa"/>
          <w:right w:w="70" w:type="dxa"/>
        </w:tblCellMar>
        <w:tblLook w:val="04A0" w:firstRow="1" w:lastRow="0" w:firstColumn="1" w:lastColumn="0" w:noHBand="0" w:noVBand="1"/>
      </w:tblPr>
      <w:tblGrid>
        <w:gridCol w:w="3760"/>
        <w:gridCol w:w="1540"/>
        <w:gridCol w:w="1580"/>
        <w:gridCol w:w="1600"/>
      </w:tblGrid>
      <w:tr w:rsidR="00196DEB" w:rsidRPr="00840081" w:rsidTr="0049784C">
        <w:trPr>
          <w:trHeight w:val="360"/>
        </w:trPr>
        <w:tc>
          <w:tcPr>
            <w:tcW w:w="3760" w:type="dxa"/>
            <w:tcBorders>
              <w:top w:val="nil"/>
              <w:left w:val="nil"/>
              <w:bottom w:val="nil"/>
              <w:right w:val="nil"/>
            </w:tcBorders>
            <w:shd w:val="clear" w:color="auto" w:fill="auto"/>
            <w:vAlign w:val="center"/>
            <w:hideMark/>
          </w:tcPr>
          <w:p w:rsidR="00196DEB" w:rsidRPr="00840081" w:rsidRDefault="00196DEB" w:rsidP="0049784C"/>
        </w:tc>
        <w:tc>
          <w:tcPr>
            <w:tcW w:w="1540" w:type="dxa"/>
            <w:tcBorders>
              <w:top w:val="nil"/>
              <w:left w:val="nil"/>
              <w:bottom w:val="nil"/>
              <w:right w:val="nil"/>
            </w:tcBorders>
            <w:shd w:val="clear" w:color="auto" w:fill="auto"/>
            <w:noWrap/>
            <w:vAlign w:val="bottom"/>
            <w:hideMark/>
          </w:tcPr>
          <w:p w:rsidR="00196DEB" w:rsidRPr="00840081" w:rsidRDefault="00196DEB" w:rsidP="0049784C">
            <w:pPr>
              <w:jc w:val="center"/>
              <w:rPr>
                <w:rFonts w:ascii="Arial" w:hAnsi="Arial" w:cs="Arial"/>
                <w:sz w:val="20"/>
                <w:szCs w:val="20"/>
              </w:rPr>
            </w:pPr>
            <w:r w:rsidRPr="00840081">
              <w:rPr>
                <w:rFonts w:ascii="Arial" w:hAnsi="Arial" w:cs="Arial"/>
                <w:sz w:val="20"/>
                <w:szCs w:val="20"/>
              </w:rPr>
              <w:t>2016</w:t>
            </w:r>
          </w:p>
        </w:tc>
        <w:tc>
          <w:tcPr>
            <w:tcW w:w="1580" w:type="dxa"/>
            <w:tcBorders>
              <w:top w:val="nil"/>
              <w:left w:val="nil"/>
              <w:bottom w:val="nil"/>
              <w:right w:val="nil"/>
            </w:tcBorders>
            <w:shd w:val="clear" w:color="auto" w:fill="auto"/>
            <w:noWrap/>
            <w:vAlign w:val="bottom"/>
            <w:hideMark/>
          </w:tcPr>
          <w:p w:rsidR="00196DEB" w:rsidRPr="00840081" w:rsidRDefault="00196DEB" w:rsidP="0049784C">
            <w:pPr>
              <w:jc w:val="center"/>
              <w:rPr>
                <w:rFonts w:ascii="Arial" w:hAnsi="Arial" w:cs="Arial"/>
                <w:sz w:val="20"/>
                <w:szCs w:val="20"/>
              </w:rPr>
            </w:pPr>
            <w:r w:rsidRPr="00840081">
              <w:rPr>
                <w:rFonts w:ascii="Arial" w:hAnsi="Arial" w:cs="Arial"/>
                <w:sz w:val="20"/>
                <w:szCs w:val="20"/>
              </w:rPr>
              <w:t>2017</w:t>
            </w:r>
          </w:p>
        </w:tc>
        <w:tc>
          <w:tcPr>
            <w:tcW w:w="1600" w:type="dxa"/>
            <w:tcBorders>
              <w:top w:val="nil"/>
              <w:left w:val="nil"/>
              <w:bottom w:val="nil"/>
              <w:right w:val="nil"/>
            </w:tcBorders>
            <w:shd w:val="clear" w:color="auto" w:fill="auto"/>
            <w:noWrap/>
            <w:vAlign w:val="bottom"/>
            <w:hideMark/>
          </w:tcPr>
          <w:p w:rsidR="00196DEB" w:rsidRPr="00840081" w:rsidRDefault="00196DEB" w:rsidP="0049784C">
            <w:pPr>
              <w:jc w:val="center"/>
              <w:rPr>
                <w:rFonts w:ascii="Arial" w:hAnsi="Arial" w:cs="Arial"/>
                <w:sz w:val="20"/>
                <w:szCs w:val="20"/>
              </w:rPr>
            </w:pPr>
            <w:r w:rsidRPr="00840081">
              <w:rPr>
                <w:rFonts w:ascii="Arial" w:hAnsi="Arial" w:cs="Arial"/>
                <w:sz w:val="20"/>
                <w:szCs w:val="20"/>
              </w:rPr>
              <w:t>2018</w:t>
            </w:r>
          </w:p>
        </w:tc>
      </w:tr>
      <w:tr w:rsidR="00196DEB" w:rsidRPr="00840081" w:rsidTr="0049784C">
        <w:trPr>
          <w:trHeight w:val="255"/>
        </w:trPr>
        <w:tc>
          <w:tcPr>
            <w:tcW w:w="3760" w:type="dxa"/>
            <w:tcBorders>
              <w:top w:val="single" w:sz="4" w:space="0" w:color="auto"/>
              <w:left w:val="single" w:sz="4" w:space="0" w:color="auto"/>
              <w:bottom w:val="nil"/>
              <w:right w:val="nil"/>
            </w:tcBorders>
            <w:shd w:val="clear" w:color="auto" w:fill="auto"/>
            <w:vAlign w:val="bottom"/>
            <w:hideMark/>
          </w:tcPr>
          <w:p w:rsidR="00196DEB" w:rsidRPr="00840081" w:rsidRDefault="00196DEB" w:rsidP="0049784C">
            <w:pPr>
              <w:rPr>
                <w:rFonts w:ascii="Arial" w:hAnsi="Arial" w:cs="Arial"/>
                <w:b/>
                <w:bCs/>
                <w:sz w:val="20"/>
                <w:szCs w:val="20"/>
              </w:rPr>
            </w:pPr>
            <w:r w:rsidRPr="00840081">
              <w:rPr>
                <w:rFonts w:ascii="Arial" w:hAnsi="Arial" w:cs="Arial"/>
                <w:b/>
                <w:bCs/>
                <w:sz w:val="20"/>
                <w:szCs w:val="20"/>
              </w:rPr>
              <w:t>ENTRATA</w:t>
            </w:r>
          </w:p>
        </w:tc>
        <w:tc>
          <w:tcPr>
            <w:tcW w:w="1540" w:type="dxa"/>
            <w:tcBorders>
              <w:top w:val="single" w:sz="4" w:space="0" w:color="auto"/>
              <w:left w:val="single" w:sz="4" w:space="0" w:color="auto"/>
              <w:bottom w:val="nil"/>
              <w:right w:val="single" w:sz="4" w:space="0" w:color="auto"/>
            </w:tcBorders>
            <w:shd w:val="clear" w:color="auto" w:fill="auto"/>
            <w:vAlign w:val="bottom"/>
            <w:hideMark/>
          </w:tcPr>
          <w:p w:rsidR="00196DEB" w:rsidRPr="00840081" w:rsidRDefault="00196DEB" w:rsidP="0049784C">
            <w:pPr>
              <w:rPr>
                <w:rFonts w:ascii="Arial" w:hAnsi="Arial" w:cs="Arial"/>
                <w:b/>
                <w:bCs/>
                <w:sz w:val="20"/>
                <w:szCs w:val="20"/>
              </w:rPr>
            </w:pPr>
            <w:r w:rsidRPr="00840081">
              <w:rPr>
                <w:rFonts w:ascii="Arial" w:hAnsi="Arial" w:cs="Arial"/>
                <w:b/>
                <w:bCs/>
                <w:sz w:val="20"/>
                <w:szCs w:val="20"/>
              </w:rPr>
              <w:t> </w:t>
            </w:r>
          </w:p>
        </w:tc>
        <w:tc>
          <w:tcPr>
            <w:tcW w:w="1580" w:type="dxa"/>
            <w:tcBorders>
              <w:top w:val="single" w:sz="4" w:space="0" w:color="auto"/>
              <w:left w:val="nil"/>
              <w:bottom w:val="nil"/>
              <w:right w:val="single" w:sz="4" w:space="0" w:color="auto"/>
            </w:tcBorders>
            <w:shd w:val="clear" w:color="auto" w:fill="auto"/>
            <w:noWrap/>
            <w:vAlign w:val="bottom"/>
            <w:hideMark/>
          </w:tcPr>
          <w:p w:rsidR="00196DEB" w:rsidRPr="00840081" w:rsidRDefault="00196DEB" w:rsidP="0049784C">
            <w:pPr>
              <w:rPr>
                <w:rFonts w:ascii="Arial" w:hAnsi="Arial" w:cs="Arial"/>
                <w:sz w:val="20"/>
                <w:szCs w:val="20"/>
              </w:rPr>
            </w:pPr>
            <w:r w:rsidRPr="00840081">
              <w:rPr>
                <w:rFonts w:ascii="Arial" w:hAnsi="Arial" w:cs="Arial"/>
                <w:sz w:val="20"/>
                <w:szCs w:val="20"/>
              </w:rPr>
              <w:t> </w:t>
            </w:r>
          </w:p>
        </w:tc>
        <w:tc>
          <w:tcPr>
            <w:tcW w:w="1600" w:type="dxa"/>
            <w:tcBorders>
              <w:top w:val="single" w:sz="4" w:space="0" w:color="auto"/>
              <w:left w:val="nil"/>
              <w:bottom w:val="nil"/>
              <w:right w:val="single" w:sz="4" w:space="0" w:color="auto"/>
            </w:tcBorders>
            <w:shd w:val="clear" w:color="auto" w:fill="auto"/>
            <w:noWrap/>
            <w:vAlign w:val="bottom"/>
            <w:hideMark/>
          </w:tcPr>
          <w:p w:rsidR="00196DEB" w:rsidRPr="00840081" w:rsidRDefault="00196DEB" w:rsidP="0049784C">
            <w:pPr>
              <w:rPr>
                <w:rFonts w:ascii="Arial" w:hAnsi="Arial" w:cs="Arial"/>
                <w:sz w:val="20"/>
                <w:szCs w:val="20"/>
              </w:rPr>
            </w:pPr>
            <w:r w:rsidRPr="00840081">
              <w:rPr>
                <w:rFonts w:ascii="Arial" w:hAnsi="Arial" w:cs="Arial"/>
                <w:sz w:val="20"/>
                <w:szCs w:val="20"/>
              </w:rPr>
              <w:t> </w:t>
            </w:r>
          </w:p>
        </w:tc>
      </w:tr>
      <w:tr w:rsidR="00196DEB" w:rsidRPr="00840081" w:rsidTr="0049784C">
        <w:trPr>
          <w:trHeight w:val="255"/>
        </w:trPr>
        <w:tc>
          <w:tcPr>
            <w:tcW w:w="3760" w:type="dxa"/>
            <w:tcBorders>
              <w:top w:val="nil"/>
              <w:left w:val="single" w:sz="4" w:space="0" w:color="auto"/>
              <w:bottom w:val="nil"/>
              <w:right w:val="nil"/>
            </w:tcBorders>
            <w:shd w:val="clear" w:color="auto" w:fill="auto"/>
            <w:vAlign w:val="bottom"/>
            <w:hideMark/>
          </w:tcPr>
          <w:p w:rsidR="00196DEB" w:rsidRPr="00840081" w:rsidRDefault="00196DEB" w:rsidP="0049784C">
            <w:pPr>
              <w:rPr>
                <w:rFonts w:ascii="Arial" w:hAnsi="Arial" w:cs="Arial"/>
                <w:sz w:val="20"/>
                <w:szCs w:val="20"/>
              </w:rPr>
            </w:pPr>
            <w:r w:rsidRPr="00840081">
              <w:rPr>
                <w:rFonts w:ascii="Arial" w:hAnsi="Arial" w:cs="Arial"/>
                <w:sz w:val="20"/>
                <w:szCs w:val="20"/>
              </w:rPr>
              <w:t>Avanzo di amministrazione vincolato</w:t>
            </w:r>
          </w:p>
        </w:tc>
        <w:tc>
          <w:tcPr>
            <w:tcW w:w="1540" w:type="dxa"/>
            <w:tcBorders>
              <w:top w:val="nil"/>
              <w:left w:val="single" w:sz="4" w:space="0" w:color="auto"/>
              <w:bottom w:val="nil"/>
              <w:right w:val="single" w:sz="4" w:space="0" w:color="auto"/>
            </w:tcBorders>
            <w:shd w:val="clear" w:color="auto" w:fill="auto"/>
            <w:noWrap/>
            <w:vAlign w:val="bottom"/>
            <w:hideMark/>
          </w:tcPr>
          <w:p w:rsidR="00196DEB" w:rsidRPr="00840081" w:rsidRDefault="00196DEB" w:rsidP="0049784C">
            <w:pPr>
              <w:jc w:val="right"/>
              <w:rPr>
                <w:rFonts w:ascii="Arial" w:hAnsi="Arial" w:cs="Arial"/>
                <w:sz w:val="20"/>
                <w:szCs w:val="20"/>
              </w:rPr>
            </w:pPr>
            <w:r w:rsidRPr="00840081">
              <w:rPr>
                <w:rFonts w:ascii="Arial" w:hAnsi="Arial" w:cs="Arial"/>
                <w:sz w:val="20"/>
                <w:szCs w:val="20"/>
              </w:rPr>
              <w:t>24.298.356,81</w:t>
            </w:r>
          </w:p>
        </w:tc>
        <w:tc>
          <w:tcPr>
            <w:tcW w:w="1580" w:type="dxa"/>
            <w:tcBorders>
              <w:top w:val="nil"/>
              <w:left w:val="nil"/>
              <w:bottom w:val="nil"/>
              <w:right w:val="single" w:sz="4" w:space="0" w:color="auto"/>
            </w:tcBorders>
            <w:shd w:val="clear" w:color="auto" w:fill="auto"/>
            <w:noWrap/>
            <w:vAlign w:val="bottom"/>
            <w:hideMark/>
          </w:tcPr>
          <w:p w:rsidR="00196DEB" w:rsidRPr="00840081" w:rsidRDefault="00196DEB" w:rsidP="0049784C">
            <w:pPr>
              <w:rPr>
                <w:rFonts w:ascii="Arial" w:hAnsi="Arial" w:cs="Arial"/>
                <w:sz w:val="20"/>
                <w:szCs w:val="20"/>
              </w:rPr>
            </w:pPr>
            <w:r w:rsidRPr="00840081">
              <w:rPr>
                <w:rFonts w:ascii="Arial" w:hAnsi="Arial" w:cs="Arial"/>
                <w:sz w:val="20"/>
                <w:szCs w:val="20"/>
              </w:rPr>
              <w:t xml:space="preserve">                     -   </w:t>
            </w:r>
          </w:p>
        </w:tc>
        <w:tc>
          <w:tcPr>
            <w:tcW w:w="1600" w:type="dxa"/>
            <w:tcBorders>
              <w:top w:val="nil"/>
              <w:left w:val="nil"/>
              <w:bottom w:val="nil"/>
              <w:right w:val="single" w:sz="4" w:space="0" w:color="auto"/>
            </w:tcBorders>
            <w:shd w:val="clear" w:color="auto" w:fill="auto"/>
            <w:noWrap/>
            <w:vAlign w:val="bottom"/>
            <w:hideMark/>
          </w:tcPr>
          <w:p w:rsidR="00196DEB" w:rsidRPr="00840081" w:rsidRDefault="00196DEB" w:rsidP="0049784C">
            <w:pPr>
              <w:rPr>
                <w:rFonts w:ascii="Arial" w:hAnsi="Arial" w:cs="Arial"/>
                <w:sz w:val="20"/>
                <w:szCs w:val="20"/>
              </w:rPr>
            </w:pPr>
            <w:r w:rsidRPr="00840081">
              <w:rPr>
                <w:rFonts w:ascii="Arial" w:hAnsi="Arial" w:cs="Arial"/>
                <w:sz w:val="20"/>
                <w:szCs w:val="20"/>
              </w:rPr>
              <w:t xml:space="preserve">                     -   </w:t>
            </w:r>
          </w:p>
        </w:tc>
      </w:tr>
      <w:tr w:rsidR="00196DEB" w:rsidRPr="00840081" w:rsidTr="0049784C">
        <w:trPr>
          <w:trHeight w:val="255"/>
        </w:trPr>
        <w:tc>
          <w:tcPr>
            <w:tcW w:w="3760" w:type="dxa"/>
            <w:tcBorders>
              <w:top w:val="nil"/>
              <w:left w:val="single" w:sz="4" w:space="0" w:color="auto"/>
              <w:bottom w:val="nil"/>
              <w:right w:val="nil"/>
            </w:tcBorders>
            <w:shd w:val="clear" w:color="auto" w:fill="auto"/>
            <w:vAlign w:val="bottom"/>
            <w:hideMark/>
          </w:tcPr>
          <w:p w:rsidR="00196DEB" w:rsidRPr="00840081" w:rsidRDefault="00196DEB" w:rsidP="0049784C">
            <w:pPr>
              <w:rPr>
                <w:rFonts w:ascii="Arial" w:hAnsi="Arial" w:cs="Arial"/>
                <w:sz w:val="20"/>
                <w:szCs w:val="20"/>
              </w:rPr>
            </w:pPr>
            <w:r w:rsidRPr="00840081">
              <w:rPr>
                <w:rFonts w:ascii="Arial" w:hAnsi="Arial" w:cs="Arial"/>
                <w:sz w:val="20"/>
                <w:szCs w:val="20"/>
              </w:rPr>
              <w:t>Fondo pluriennale vincolato</w:t>
            </w:r>
          </w:p>
        </w:tc>
        <w:tc>
          <w:tcPr>
            <w:tcW w:w="1540" w:type="dxa"/>
            <w:tcBorders>
              <w:top w:val="nil"/>
              <w:left w:val="single" w:sz="4" w:space="0" w:color="auto"/>
              <w:bottom w:val="nil"/>
              <w:right w:val="single" w:sz="4" w:space="0" w:color="auto"/>
            </w:tcBorders>
            <w:shd w:val="clear" w:color="auto" w:fill="auto"/>
            <w:noWrap/>
            <w:vAlign w:val="bottom"/>
            <w:hideMark/>
          </w:tcPr>
          <w:p w:rsidR="00196DEB" w:rsidRPr="00840081" w:rsidRDefault="00196DEB" w:rsidP="0049784C">
            <w:pPr>
              <w:jc w:val="right"/>
              <w:rPr>
                <w:rFonts w:ascii="Arial" w:hAnsi="Arial" w:cs="Arial"/>
                <w:sz w:val="20"/>
                <w:szCs w:val="20"/>
              </w:rPr>
            </w:pPr>
            <w:r w:rsidRPr="00840081">
              <w:rPr>
                <w:rFonts w:ascii="Arial" w:hAnsi="Arial" w:cs="Arial"/>
                <w:sz w:val="20"/>
                <w:szCs w:val="20"/>
              </w:rPr>
              <w:t>6.809.731,76</w:t>
            </w:r>
          </w:p>
        </w:tc>
        <w:tc>
          <w:tcPr>
            <w:tcW w:w="1580" w:type="dxa"/>
            <w:tcBorders>
              <w:top w:val="nil"/>
              <w:left w:val="nil"/>
              <w:bottom w:val="nil"/>
              <w:right w:val="single" w:sz="4" w:space="0" w:color="auto"/>
            </w:tcBorders>
            <w:shd w:val="clear" w:color="auto" w:fill="auto"/>
            <w:noWrap/>
            <w:vAlign w:val="bottom"/>
            <w:hideMark/>
          </w:tcPr>
          <w:p w:rsidR="00196DEB" w:rsidRPr="00840081" w:rsidRDefault="00196DEB" w:rsidP="0049784C">
            <w:pPr>
              <w:rPr>
                <w:rFonts w:ascii="Arial" w:hAnsi="Arial" w:cs="Arial"/>
                <w:sz w:val="20"/>
                <w:szCs w:val="20"/>
              </w:rPr>
            </w:pPr>
            <w:r w:rsidRPr="00840081">
              <w:rPr>
                <w:rFonts w:ascii="Arial" w:hAnsi="Arial" w:cs="Arial"/>
                <w:sz w:val="20"/>
                <w:szCs w:val="20"/>
              </w:rPr>
              <w:t xml:space="preserve">     6.455.268,07 </w:t>
            </w:r>
          </w:p>
        </w:tc>
        <w:tc>
          <w:tcPr>
            <w:tcW w:w="1600" w:type="dxa"/>
            <w:tcBorders>
              <w:top w:val="nil"/>
              <w:left w:val="nil"/>
              <w:bottom w:val="nil"/>
              <w:right w:val="single" w:sz="4" w:space="0" w:color="auto"/>
            </w:tcBorders>
            <w:shd w:val="clear" w:color="auto" w:fill="auto"/>
            <w:noWrap/>
            <w:vAlign w:val="bottom"/>
            <w:hideMark/>
          </w:tcPr>
          <w:p w:rsidR="00196DEB" w:rsidRPr="00840081" w:rsidRDefault="00196DEB" w:rsidP="0049784C">
            <w:pPr>
              <w:rPr>
                <w:rFonts w:ascii="Arial" w:hAnsi="Arial" w:cs="Arial"/>
                <w:sz w:val="20"/>
                <w:szCs w:val="20"/>
              </w:rPr>
            </w:pPr>
            <w:r w:rsidRPr="00840081">
              <w:rPr>
                <w:rFonts w:ascii="Arial" w:hAnsi="Arial" w:cs="Arial"/>
                <w:sz w:val="20"/>
                <w:szCs w:val="20"/>
              </w:rPr>
              <w:t xml:space="preserve">     5.490.187,24 </w:t>
            </w:r>
          </w:p>
        </w:tc>
      </w:tr>
      <w:tr w:rsidR="00196DEB" w:rsidRPr="00840081" w:rsidTr="0049784C">
        <w:trPr>
          <w:trHeight w:val="480"/>
        </w:trPr>
        <w:tc>
          <w:tcPr>
            <w:tcW w:w="3760" w:type="dxa"/>
            <w:tcBorders>
              <w:top w:val="nil"/>
              <w:left w:val="single" w:sz="4" w:space="0" w:color="auto"/>
              <w:bottom w:val="nil"/>
              <w:right w:val="nil"/>
            </w:tcBorders>
            <w:shd w:val="clear" w:color="auto" w:fill="auto"/>
            <w:vAlign w:val="center"/>
            <w:hideMark/>
          </w:tcPr>
          <w:p w:rsidR="00196DEB" w:rsidRPr="00840081" w:rsidRDefault="00196DEB" w:rsidP="0049784C">
            <w:pPr>
              <w:rPr>
                <w:rFonts w:ascii="Arial" w:hAnsi="Arial" w:cs="Arial"/>
                <w:sz w:val="18"/>
                <w:szCs w:val="18"/>
              </w:rPr>
            </w:pPr>
            <w:r w:rsidRPr="00840081">
              <w:rPr>
                <w:rFonts w:ascii="Arial" w:hAnsi="Arial" w:cs="Arial"/>
                <w:sz w:val="18"/>
                <w:szCs w:val="18"/>
              </w:rPr>
              <w:t>TITOLO 1- Entrate di natura tributaria, contributiva e perequat.</w:t>
            </w:r>
          </w:p>
        </w:tc>
        <w:tc>
          <w:tcPr>
            <w:tcW w:w="1540" w:type="dxa"/>
            <w:tcBorders>
              <w:top w:val="nil"/>
              <w:left w:val="single" w:sz="4" w:space="0" w:color="auto"/>
              <w:bottom w:val="nil"/>
              <w:right w:val="single" w:sz="4" w:space="0" w:color="auto"/>
            </w:tcBorders>
            <w:shd w:val="clear" w:color="auto" w:fill="auto"/>
            <w:noWrap/>
            <w:vAlign w:val="bottom"/>
            <w:hideMark/>
          </w:tcPr>
          <w:p w:rsidR="00196DEB" w:rsidRPr="00840081" w:rsidRDefault="00196DEB" w:rsidP="0049784C">
            <w:pPr>
              <w:jc w:val="right"/>
              <w:rPr>
                <w:rFonts w:ascii="Arial" w:hAnsi="Arial" w:cs="Arial"/>
                <w:sz w:val="20"/>
                <w:szCs w:val="20"/>
              </w:rPr>
            </w:pPr>
            <w:r w:rsidRPr="00840081">
              <w:rPr>
                <w:rFonts w:ascii="Arial" w:hAnsi="Arial" w:cs="Arial"/>
                <w:sz w:val="20"/>
                <w:szCs w:val="20"/>
              </w:rPr>
              <w:t>353.004.739,03</w:t>
            </w:r>
          </w:p>
        </w:tc>
        <w:tc>
          <w:tcPr>
            <w:tcW w:w="1580" w:type="dxa"/>
            <w:tcBorders>
              <w:top w:val="nil"/>
              <w:left w:val="nil"/>
              <w:bottom w:val="nil"/>
              <w:right w:val="single" w:sz="4" w:space="0" w:color="auto"/>
            </w:tcBorders>
            <w:shd w:val="clear" w:color="auto" w:fill="auto"/>
            <w:noWrap/>
            <w:vAlign w:val="bottom"/>
            <w:hideMark/>
          </w:tcPr>
          <w:p w:rsidR="00196DEB" w:rsidRPr="00840081" w:rsidRDefault="00196DEB" w:rsidP="0049784C">
            <w:pPr>
              <w:rPr>
                <w:rFonts w:ascii="Arial" w:hAnsi="Arial" w:cs="Arial"/>
                <w:sz w:val="20"/>
                <w:szCs w:val="20"/>
              </w:rPr>
            </w:pPr>
            <w:r w:rsidRPr="00840081">
              <w:rPr>
                <w:rFonts w:ascii="Arial" w:hAnsi="Arial" w:cs="Arial"/>
                <w:sz w:val="20"/>
                <w:szCs w:val="20"/>
              </w:rPr>
              <w:t xml:space="preserve"> 358.650.209,05 </w:t>
            </w:r>
          </w:p>
        </w:tc>
        <w:tc>
          <w:tcPr>
            <w:tcW w:w="1600" w:type="dxa"/>
            <w:tcBorders>
              <w:top w:val="nil"/>
              <w:left w:val="nil"/>
              <w:bottom w:val="nil"/>
              <w:right w:val="single" w:sz="4" w:space="0" w:color="auto"/>
            </w:tcBorders>
            <w:shd w:val="clear" w:color="auto" w:fill="auto"/>
            <w:noWrap/>
            <w:vAlign w:val="bottom"/>
            <w:hideMark/>
          </w:tcPr>
          <w:p w:rsidR="00196DEB" w:rsidRPr="00840081" w:rsidRDefault="00196DEB" w:rsidP="0049784C">
            <w:pPr>
              <w:rPr>
                <w:rFonts w:ascii="Arial" w:hAnsi="Arial" w:cs="Arial"/>
                <w:sz w:val="20"/>
                <w:szCs w:val="20"/>
              </w:rPr>
            </w:pPr>
            <w:r w:rsidRPr="00840081">
              <w:rPr>
                <w:rFonts w:ascii="Arial" w:hAnsi="Arial" w:cs="Arial"/>
                <w:sz w:val="20"/>
                <w:szCs w:val="20"/>
              </w:rPr>
              <w:t xml:space="preserve">  359.612.417,60 </w:t>
            </w:r>
          </w:p>
        </w:tc>
      </w:tr>
      <w:tr w:rsidR="00196DEB" w:rsidRPr="00840081" w:rsidTr="0049784C">
        <w:trPr>
          <w:trHeight w:val="255"/>
        </w:trPr>
        <w:tc>
          <w:tcPr>
            <w:tcW w:w="3760" w:type="dxa"/>
            <w:tcBorders>
              <w:top w:val="nil"/>
              <w:left w:val="single" w:sz="4" w:space="0" w:color="auto"/>
              <w:bottom w:val="nil"/>
              <w:right w:val="nil"/>
            </w:tcBorders>
            <w:shd w:val="clear" w:color="auto" w:fill="auto"/>
            <w:vAlign w:val="center"/>
            <w:hideMark/>
          </w:tcPr>
          <w:p w:rsidR="00196DEB" w:rsidRPr="00840081" w:rsidRDefault="00196DEB" w:rsidP="0049784C">
            <w:pPr>
              <w:rPr>
                <w:rFonts w:ascii="Arial" w:hAnsi="Arial" w:cs="Arial"/>
                <w:sz w:val="18"/>
                <w:szCs w:val="18"/>
              </w:rPr>
            </w:pPr>
            <w:r w:rsidRPr="00840081">
              <w:rPr>
                <w:rFonts w:ascii="Arial" w:hAnsi="Arial" w:cs="Arial"/>
                <w:sz w:val="18"/>
                <w:szCs w:val="18"/>
              </w:rPr>
              <w:t>TITOLO 2 - Trasferimenti correnti</w:t>
            </w:r>
          </w:p>
        </w:tc>
        <w:tc>
          <w:tcPr>
            <w:tcW w:w="1540" w:type="dxa"/>
            <w:tcBorders>
              <w:top w:val="nil"/>
              <w:left w:val="single" w:sz="4" w:space="0" w:color="auto"/>
              <w:bottom w:val="nil"/>
              <w:right w:val="single" w:sz="4" w:space="0" w:color="auto"/>
            </w:tcBorders>
            <w:shd w:val="clear" w:color="auto" w:fill="auto"/>
            <w:vAlign w:val="bottom"/>
            <w:hideMark/>
          </w:tcPr>
          <w:p w:rsidR="00196DEB" w:rsidRPr="00840081" w:rsidRDefault="00196DEB" w:rsidP="0049784C">
            <w:pPr>
              <w:jc w:val="right"/>
              <w:rPr>
                <w:rFonts w:ascii="Arial" w:hAnsi="Arial" w:cs="Arial"/>
                <w:sz w:val="20"/>
                <w:szCs w:val="20"/>
              </w:rPr>
            </w:pPr>
            <w:r w:rsidRPr="00840081">
              <w:rPr>
                <w:rFonts w:ascii="Arial" w:hAnsi="Arial" w:cs="Arial"/>
                <w:sz w:val="20"/>
                <w:szCs w:val="20"/>
              </w:rPr>
              <w:t>81.267.970,72</w:t>
            </w:r>
          </w:p>
        </w:tc>
        <w:tc>
          <w:tcPr>
            <w:tcW w:w="1580" w:type="dxa"/>
            <w:tcBorders>
              <w:top w:val="nil"/>
              <w:left w:val="nil"/>
              <w:bottom w:val="nil"/>
              <w:right w:val="single" w:sz="4" w:space="0" w:color="auto"/>
            </w:tcBorders>
            <w:shd w:val="clear" w:color="auto" w:fill="auto"/>
            <w:noWrap/>
            <w:vAlign w:val="center"/>
            <w:hideMark/>
          </w:tcPr>
          <w:p w:rsidR="00196DEB" w:rsidRPr="00840081" w:rsidRDefault="00196DEB" w:rsidP="0049784C">
            <w:pPr>
              <w:rPr>
                <w:rFonts w:ascii="Arial" w:hAnsi="Arial" w:cs="Arial"/>
                <w:sz w:val="20"/>
                <w:szCs w:val="20"/>
              </w:rPr>
            </w:pPr>
            <w:r w:rsidRPr="00840081">
              <w:rPr>
                <w:rFonts w:ascii="Arial" w:hAnsi="Arial" w:cs="Arial"/>
                <w:sz w:val="20"/>
                <w:szCs w:val="20"/>
              </w:rPr>
              <w:t xml:space="preserve">   56.908.667,78 </w:t>
            </w:r>
          </w:p>
        </w:tc>
        <w:tc>
          <w:tcPr>
            <w:tcW w:w="1600" w:type="dxa"/>
            <w:tcBorders>
              <w:top w:val="nil"/>
              <w:left w:val="nil"/>
              <w:bottom w:val="nil"/>
              <w:right w:val="single" w:sz="4" w:space="0" w:color="auto"/>
            </w:tcBorders>
            <w:shd w:val="clear" w:color="auto" w:fill="auto"/>
            <w:noWrap/>
            <w:vAlign w:val="center"/>
            <w:hideMark/>
          </w:tcPr>
          <w:p w:rsidR="00196DEB" w:rsidRPr="00840081" w:rsidRDefault="00196DEB" w:rsidP="0049784C">
            <w:pPr>
              <w:rPr>
                <w:rFonts w:ascii="Arial" w:hAnsi="Arial" w:cs="Arial"/>
                <w:sz w:val="20"/>
                <w:szCs w:val="20"/>
              </w:rPr>
            </w:pPr>
            <w:r w:rsidRPr="00840081">
              <w:rPr>
                <w:rFonts w:ascii="Arial" w:hAnsi="Arial" w:cs="Arial"/>
                <w:sz w:val="20"/>
                <w:szCs w:val="20"/>
              </w:rPr>
              <w:t xml:space="preserve">   66.192.838,21 </w:t>
            </w:r>
          </w:p>
        </w:tc>
      </w:tr>
      <w:tr w:rsidR="00196DEB" w:rsidRPr="00840081" w:rsidTr="0049784C">
        <w:trPr>
          <w:trHeight w:val="255"/>
        </w:trPr>
        <w:tc>
          <w:tcPr>
            <w:tcW w:w="3760" w:type="dxa"/>
            <w:tcBorders>
              <w:top w:val="nil"/>
              <w:left w:val="single" w:sz="4" w:space="0" w:color="auto"/>
              <w:bottom w:val="nil"/>
              <w:right w:val="nil"/>
            </w:tcBorders>
            <w:shd w:val="clear" w:color="auto" w:fill="auto"/>
            <w:vAlign w:val="center"/>
            <w:hideMark/>
          </w:tcPr>
          <w:p w:rsidR="00196DEB" w:rsidRPr="00840081" w:rsidRDefault="00196DEB" w:rsidP="0049784C">
            <w:pPr>
              <w:rPr>
                <w:rFonts w:ascii="Arial" w:hAnsi="Arial" w:cs="Arial"/>
                <w:sz w:val="18"/>
                <w:szCs w:val="18"/>
              </w:rPr>
            </w:pPr>
            <w:r w:rsidRPr="00840081">
              <w:rPr>
                <w:rFonts w:ascii="Arial" w:hAnsi="Arial" w:cs="Arial"/>
                <w:sz w:val="18"/>
                <w:szCs w:val="18"/>
              </w:rPr>
              <w:t>TITOLO 3 - Entrate extratributarie</w:t>
            </w:r>
          </w:p>
        </w:tc>
        <w:tc>
          <w:tcPr>
            <w:tcW w:w="1540" w:type="dxa"/>
            <w:tcBorders>
              <w:top w:val="nil"/>
              <w:left w:val="single" w:sz="4" w:space="0" w:color="auto"/>
              <w:bottom w:val="nil"/>
              <w:right w:val="single" w:sz="4" w:space="0" w:color="auto"/>
            </w:tcBorders>
            <w:shd w:val="clear" w:color="auto" w:fill="auto"/>
            <w:vAlign w:val="bottom"/>
            <w:hideMark/>
          </w:tcPr>
          <w:p w:rsidR="00196DEB" w:rsidRPr="00840081" w:rsidRDefault="00196DEB" w:rsidP="0049784C">
            <w:pPr>
              <w:jc w:val="right"/>
              <w:rPr>
                <w:rFonts w:ascii="Arial" w:hAnsi="Arial" w:cs="Arial"/>
                <w:sz w:val="20"/>
                <w:szCs w:val="20"/>
              </w:rPr>
            </w:pPr>
            <w:r w:rsidRPr="00840081">
              <w:rPr>
                <w:rFonts w:ascii="Arial" w:hAnsi="Arial" w:cs="Arial"/>
                <w:sz w:val="20"/>
                <w:szCs w:val="20"/>
              </w:rPr>
              <w:t>252.892.335,71</w:t>
            </w:r>
          </w:p>
        </w:tc>
        <w:tc>
          <w:tcPr>
            <w:tcW w:w="1580" w:type="dxa"/>
            <w:tcBorders>
              <w:top w:val="nil"/>
              <w:left w:val="nil"/>
              <w:bottom w:val="single" w:sz="4" w:space="0" w:color="auto"/>
              <w:right w:val="single" w:sz="4" w:space="0" w:color="auto"/>
            </w:tcBorders>
            <w:shd w:val="clear" w:color="auto" w:fill="auto"/>
            <w:noWrap/>
            <w:vAlign w:val="bottom"/>
            <w:hideMark/>
          </w:tcPr>
          <w:p w:rsidR="00196DEB" w:rsidRPr="00840081" w:rsidRDefault="00196DEB" w:rsidP="0049784C">
            <w:pPr>
              <w:rPr>
                <w:rFonts w:ascii="Arial" w:hAnsi="Arial" w:cs="Arial"/>
                <w:sz w:val="20"/>
                <w:szCs w:val="20"/>
              </w:rPr>
            </w:pPr>
            <w:r w:rsidRPr="00840081">
              <w:rPr>
                <w:rFonts w:ascii="Arial" w:hAnsi="Arial" w:cs="Arial"/>
                <w:sz w:val="20"/>
                <w:szCs w:val="20"/>
              </w:rPr>
              <w:t xml:space="preserve"> 245.664.581,30 </w:t>
            </w:r>
          </w:p>
        </w:tc>
        <w:tc>
          <w:tcPr>
            <w:tcW w:w="1600" w:type="dxa"/>
            <w:tcBorders>
              <w:top w:val="nil"/>
              <w:left w:val="nil"/>
              <w:bottom w:val="single" w:sz="4" w:space="0" w:color="auto"/>
              <w:right w:val="single" w:sz="4" w:space="0" w:color="auto"/>
            </w:tcBorders>
            <w:shd w:val="clear" w:color="auto" w:fill="auto"/>
            <w:noWrap/>
            <w:vAlign w:val="bottom"/>
            <w:hideMark/>
          </w:tcPr>
          <w:p w:rsidR="00196DEB" w:rsidRPr="00840081" w:rsidRDefault="00196DEB" w:rsidP="0049784C">
            <w:pPr>
              <w:rPr>
                <w:rFonts w:ascii="Arial" w:hAnsi="Arial" w:cs="Arial"/>
                <w:sz w:val="20"/>
                <w:szCs w:val="20"/>
              </w:rPr>
            </w:pPr>
            <w:r w:rsidRPr="00840081">
              <w:rPr>
                <w:rFonts w:ascii="Arial" w:hAnsi="Arial" w:cs="Arial"/>
                <w:sz w:val="20"/>
                <w:szCs w:val="20"/>
              </w:rPr>
              <w:t xml:space="preserve">  256.280.806,06 </w:t>
            </w:r>
          </w:p>
        </w:tc>
      </w:tr>
      <w:tr w:rsidR="00196DEB" w:rsidRPr="00840081" w:rsidTr="0049784C">
        <w:trPr>
          <w:trHeight w:val="255"/>
        </w:trPr>
        <w:tc>
          <w:tcPr>
            <w:tcW w:w="3760" w:type="dxa"/>
            <w:tcBorders>
              <w:top w:val="nil"/>
              <w:left w:val="single" w:sz="4" w:space="0" w:color="auto"/>
              <w:bottom w:val="nil"/>
              <w:right w:val="nil"/>
            </w:tcBorders>
            <w:shd w:val="clear" w:color="auto" w:fill="auto"/>
            <w:vAlign w:val="bottom"/>
            <w:hideMark/>
          </w:tcPr>
          <w:p w:rsidR="00196DEB" w:rsidRPr="00840081" w:rsidRDefault="00196DEB" w:rsidP="0049784C">
            <w:pPr>
              <w:rPr>
                <w:rFonts w:ascii="Arial" w:hAnsi="Arial" w:cs="Arial"/>
                <w:color w:val="FF0000"/>
                <w:sz w:val="20"/>
                <w:szCs w:val="20"/>
              </w:rPr>
            </w:pPr>
            <w:r w:rsidRPr="00840081">
              <w:rPr>
                <w:rFonts w:ascii="Arial" w:hAnsi="Arial" w:cs="Arial"/>
                <w:color w:val="FF0000"/>
                <w:sz w:val="20"/>
                <w:szCs w:val="20"/>
              </w:rPr>
              <w:t> </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96DEB" w:rsidRPr="00840081" w:rsidRDefault="00196DEB" w:rsidP="0049784C">
            <w:pPr>
              <w:jc w:val="right"/>
              <w:rPr>
                <w:rFonts w:ascii="Arial" w:hAnsi="Arial" w:cs="Arial"/>
                <w:sz w:val="20"/>
                <w:szCs w:val="20"/>
              </w:rPr>
            </w:pPr>
            <w:r w:rsidRPr="00840081">
              <w:rPr>
                <w:rFonts w:ascii="Arial" w:hAnsi="Arial" w:cs="Arial"/>
                <w:sz w:val="20"/>
                <w:szCs w:val="20"/>
              </w:rPr>
              <w:t>718.273.134,03</w:t>
            </w:r>
          </w:p>
        </w:tc>
        <w:tc>
          <w:tcPr>
            <w:tcW w:w="1580" w:type="dxa"/>
            <w:tcBorders>
              <w:top w:val="nil"/>
              <w:left w:val="nil"/>
              <w:bottom w:val="single" w:sz="4" w:space="0" w:color="auto"/>
              <w:right w:val="single" w:sz="4" w:space="0" w:color="auto"/>
            </w:tcBorders>
            <w:shd w:val="clear" w:color="auto" w:fill="auto"/>
            <w:vAlign w:val="bottom"/>
            <w:hideMark/>
          </w:tcPr>
          <w:p w:rsidR="00196DEB" w:rsidRPr="00840081" w:rsidRDefault="00196DEB" w:rsidP="0049784C">
            <w:pPr>
              <w:jc w:val="right"/>
              <w:rPr>
                <w:rFonts w:ascii="Arial" w:hAnsi="Arial" w:cs="Arial"/>
                <w:sz w:val="20"/>
                <w:szCs w:val="20"/>
              </w:rPr>
            </w:pPr>
            <w:r w:rsidRPr="00840081">
              <w:rPr>
                <w:rFonts w:ascii="Arial" w:hAnsi="Arial" w:cs="Arial"/>
                <w:sz w:val="20"/>
                <w:szCs w:val="20"/>
              </w:rPr>
              <w:t>667.678.726,20</w:t>
            </w:r>
          </w:p>
        </w:tc>
        <w:tc>
          <w:tcPr>
            <w:tcW w:w="1600" w:type="dxa"/>
            <w:tcBorders>
              <w:top w:val="nil"/>
              <w:left w:val="nil"/>
              <w:bottom w:val="single" w:sz="4" w:space="0" w:color="auto"/>
              <w:right w:val="single" w:sz="4" w:space="0" w:color="auto"/>
            </w:tcBorders>
            <w:shd w:val="clear" w:color="auto" w:fill="auto"/>
            <w:vAlign w:val="bottom"/>
            <w:hideMark/>
          </w:tcPr>
          <w:p w:rsidR="00196DEB" w:rsidRPr="00840081" w:rsidRDefault="00196DEB" w:rsidP="0049784C">
            <w:pPr>
              <w:jc w:val="right"/>
              <w:rPr>
                <w:rFonts w:ascii="Arial" w:hAnsi="Arial" w:cs="Arial"/>
                <w:sz w:val="20"/>
                <w:szCs w:val="20"/>
              </w:rPr>
            </w:pPr>
            <w:r w:rsidRPr="00840081">
              <w:rPr>
                <w:rFonts w:ascii="Arial" w:hAnsi="Arial" w:cs="Arial"/>
                <w:sz w:val="20"/>
                <w:szCs w:val="20"/>
              </w:rPr>
              <w:t>687.576.249,11</w:t>
            </w:r>
          </w:p>
        </w:tc>
      </w:tr>
      <w:tr w:rsidR="00196DEB" w:rsidRPr="00840081" w:rsidTr="0049784C">
        <w:trPr>
          <w:trHeight w:val="255"/>
        </w:trPr>
        <w:tc>
          <w:tcPr>
            <w:tcW w:w="3760" w:type="dxa"/>
            <w:tcBorders>
              <w:top w:val="nil"/>
              <w:left w:val="single" w:sz="4" w:space="0" w:color="auto"/>
              <w:bottom w:val="nil"/>
              <w:right w:val="nil"/>
            </w:tcBorders>
            <w:shd w:val="clear" w:color="auto" w:fill="auto"/>
            <w:vAlign w:val="bottom"/>
            <w:hideMark/>
          </w:tcPr>
          <w:p w:rsidR="00196DEB" w:rsidRPr="00840081" w:rsidRDefault="00196DEB" w:rsidP="0049784C">
            <w:pPr>
              <w:rPr>
                <w:rFonts w:ascii="Arial" w:hAnsi="Arial" w:cs="Arial"/>
                <w:sz w:val="20"/>
                <w:szCs w:val="20"/>
                <w:u w:val="single"/>
              </w:rPr>
            </w:pPr>
            <w:r w:rsidRPr="00840081">
              <w:rPr>
                <w:rFonts w:ascii="Arial" w:hAnsi="Arial" w:cs="Arial"/>
                <w:sz w:val="20"/>
                <w:szCs w:val="20"/>
                <w:u w:val="single"/>
              </w:rPr>
              <w:t>a detrarre:</w:t>
            </w:r>
          </w:p>
        </w:tc>
        <w:tc>
          <w:tcPr>
            <w:tcW w:w="1540" w:type="dxa"/>
            <w:tcBorders>
              <w:top w:val="nil"/>
              <w:left w:val="nil"/>
              <w:bottom w:val="single" w:sz="4" w:space="0" w:color="auto"/>
              <w:right w:val="nil"/>
            </w:tcBorders>
            <w:shd w:val="clear" w:color="auto" w:fill="auto"/>
            <w:vAlign w:val="bottom"/>
            <w:hideMark/>
          </w:tcPr>
          <w:p w:rsidR="00196DEB" w:rsidRPr="00840081" w:rsidRDefault="00196DEB" w:rsidP="0049784C">
            <w:pPr>
              <w:rPr>
                <w:rFonts w:ascii="Arial" w:hAnsi="Arial" w:cs="Arial"/>
                <w:sz w:val="20"/>
                <w:szCs w:val="20"/>
                <w:u w:val="single"/>
              </w:rPr>
            </w:pPr>
            <w:r w:rsidRPr="00840081">
              <w:rPr>
                <w:rFonts w:ascii="Arial" w:hAnsi="Arial" w:cs="Arial"/>
                <w:sz w:val="20"/>
                <w:szCs w:val="20"/>
                <w:u w:val="single"/>
              </w:rPr>
              <w:t> </w:t>
            </w:r>
          </w:p>
        </w:tc>
        <w:tc>
          <w:tcPr>
            <w:tcW w:w="1580" w:type="dxa"/>
            <w:tcBorders>
              <w:top w:val="nil"/>
              <w:left w:val="nil"/>
              <w:bottom w:val="nil"/>
              <w:right w:val="nil"/>
            </w:tcBorders>
            <w:shd w:val="clear" w:color="auto" w:fill="auto"/>
            <w:noWrap/>
            <w:vAlign w:val="bottom"/>
            <w:hideMark/>
          </w:tcPr>
          <w:p w:rsidR="00196DEB" w:rsidRPr="00840081" w:rsidRDefault="00196DEB" w:rsidP="0049784C">
            <w:pPr>
              <w:rPr>
                <w:rFonts w:ascii="Arial" w:hAnsi="Arial" w:cs="Arial"/>
                <w:sz w:val="20"/>
                <w:szCs w:val="20"/>
                <w:u w:val="single"/>
              </w:rPr>
            </w:pPr>
          </w:p>
        </w:tc>
        <w:tc>
          <w:tcPr>
            <w:tcW w:w="1600" w:type="dxa"/>
            <w:tcBorders>
              <w:top w:val="nil"/>
              <w:left w:val="nil"/>
              <w:bottom w:val="nil"/>
              <w:right w:val="nil"/>
            </w:tcBorders>
            <w:shd w:val="clear" w:color="auto" w:fill="auto"/>
            <w:noWrap/>
            <w:vAlign w:val="bottom"/>
            <w:hideMark/>
          </w:tcPr>
          <w:p w:rsidR="00196DEB" w:rsidRPr="00840081" w:rsidRDefault="00196DEB" w:rsidP="0049784C">
            <w:pPr>
              <w:rPr>
                <w:sz w:val="20"/>
                <w:szCs w:val="20"/>
              </w:rPr>
            </w:pPr>
          </w:p>
        </w:tc>
      </w:tr>
      <w:tr w:rsidR="00196DEB" w:rsidRPr="00840081" w:rsidTr="0049784C">
        <w:trPr>
          <w:trHeight w:val="510"/>
        </w:trPr>
        <w:tc>
          <w:tcPr>
            <w:tcW w:w="3760" w:type="dxa"/>
            <w:tcBorders>
              <w:top w:val="nil"/>
              <w:left w:val="single" w:sz="4" w:space="0" w:color="auto"/>
              <w:bottom w:val="nil"/>
              <w:right w:val="nil"/>
            </w:tcBorders>
            <w:shd w:val="clear" w:color="auto" w:fill="auto"/>
            <w:vAlign w:val="bottom"/>
            <w:hideMark/>
          </w:tcPr>
          <w:p w:rsidR="00196DEB" w:rsidRPr="00840081" w:rsidRDefault="00196DEB" w:rsidP="0049784C">
            <w:pPr>
              <w:rPr>
                <w:rFonts w:ascii="Arial" w:hAnsi="Arial" w:cs="Arial"/>
                <w:sz w:val="20"/>
                <w:szCs w:val="20"/>
              </w:rPr>
            </w:pPr>
            <w:r w:rsidRPr="00840081">
              <w:rPr>
                <w:rFonts w:ascii="Arial" w:hAnsi="Arial" w:cs="Arial"/>
                <w:sz w:val="20"/>
                <w:szCs w:val="20"/>
              </w:rPr>
              <w:t>Entrate correnti destinate a spese di investimento</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196DEB" w:rsidRPr="00840081" w:rsidRDefault="00196DEB" w:rsidP="0049784C">
            <w:pPr>
              <w:jc w:val="right"/>
              <w:rPr>
                <w:rFonts w:ascii="Arial" w:hAnsi="Arial" w:cs="Arial"/>
                <w:sz w:val="20"/>
                <w:szCs w:val="20"/>
              </w:rPr>
            </w:pPr>
            <w:r w:rsidRPr="00840081">
              <w:rPr>
                <w:rFonts w:ascii="Arial" w:hAnsi="Arial" w:cs="Arial"/>
                <w:sz w:val="20"/>
                <w:szCs w:val="20"/>
              </w:rPr>
              <w:t>389.652,95</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196DEB" w:rsidRPr="00840081" w:rsidRDefault="00196DEB" w:rsidP="0049784C">
            <w:pPr>
              <w:rPr>
                <w:rFonts w:ascii="Arial" w:hAnsi="Arial" w:cs="Arial"/>
                <w:sz w:val="20"/>
                <w:szCs w:val="20"/>
              </w:rPr>
            </w:pPr>
            <w:r w:rsidRPr="00840081">
              <w:rPr>
                <w:rFonts w:ascii="Arial" w:hAnsi="Arial" w:cs="Arial"/>
                <w:sz w:val="20"/>
                <w:szCs w:val="20"/>
              </w:rPr>
              <w:t xml:space="preserve">        401.890,55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196DEB" w:rsidRPr="00840081" w:rsidRDefault="00196DEB" w:rsidP="0049784C">
            <w:pPr>
              <w:rPr>
                <w:rFonts w:ascii="Arial" w:hAnsi="Arial" w:cs="Arial"/>
                <w:sz w:val="20"/>
                <w:szCs w:val="20"/>
              </w:rPr>
            </w:pPr>
            <w:r w:rsidRPr="00840081">
              <w:rPr>
                <w:rFonts w:ascii="Arial" w:hAnsi="Arial" w:cs="Arial"/>
                <w:sz w:val="20"/>
                <w:szCs w:val="20"/>
              </w:rPr>
              <w:t xml:space="preserve">        388.317,77 </w:t>
            </w:r>
          </w:p>
        </w:tc>
      </w:tr>
      <w:tr w:rsidR="00196DEB" w:rsidRPr="00840081" w:rsidTr="0049784C">
        <w:trPr>
          <w:trHeight w:val="255"/>
        </w:trPr>
        <w:tc>
          <w:tcPr>
            <w:tcW w:w="3760" w:type="dxa"/>
            <w:tcBorders>
              <w:top w:val="nil"/>
              <w:left w:val="single" w:sz="4" w:space="0" w:color="auto"/>
              <w:bottom w:val="nil"/>
              <w:right w:val="nil"/>
            </w:tcBorders>
            <w:shd w:val="clear" w:color="auto" w:fill="auto"/>
            <w:vAlign w:val="bottom"/>
            <w:hideMark/>
          </w:tcPr>
          <w:p w:rsidR="00196DEB" w:rsidRPr="00840081" w:rsidRDefault="00196DEB" w:rsidP="0049784C">
            <w:pPr>
              <w:rPr>
                <w:rFonts w:ascii="Arial" w:hAnsi="Arial" w:cs="Arial"/>
                <w:sz w:val="20"/>
                <w:szCs w:val="20"/>
                <w:u w:val="single"/>
              </w:rPr>
            </w:pPr>
            <w:r w:rsidRPr="00840081">
              <w:rPr>
                <w:rFonts w:ascii="Arial" w:hAnsi="Arial" w:cs="Arial"/>
                <w:sz w:val="20"/>
                <w:szCs w:val="20"/>
                <w:u w:val="single"/>
              </w:rPr>
              <w:t>a sommare:</w:t>
            </w:r>
          </w:p>
        </w:tc>
        <w:tc>
          <w:tcPr>
            <w:tcW w:w="1540" w:type="dxa"/>
            <w:tcBorders>
              <w:top w:val="nil"/>
              <w:left w:val="nil"/>
              <w:bottom w:val="nil"/>
              <w:right w:val="nil"/>
            </w:tcBorders>
            <w:shd w:val="clear" w:color="auto" w:fill="auto"/>
            <w:noWrap/>
            <w:vAlign w:val="bottom"/>
            <w:hideMark/>
          </w:tcPr>
          <w:p w:rsidR="00196DEB" w:rsidRPr="00840081" w:rsidRDefault="00196DEB" w:rsidP="0049784C">
            <w:pPr>
              <w:rPr>
                <w:rFonts w:ascii="Arial" w:hAnsi="Arial" w:cs="Arial"/>
                <w:sz w:val="20"/>
                <w:szCs w:val="20"/>
                <w:u w:val="single"/>
              </w:rPr>
            </w:pPr>
          </w:p>
        </w:tc>
        <w:tc>
          <w:tcPr>
            <w:tcW w:w="1580" w:type="dxa"/>
            <w:tcBorders>
              <w:top w:val="nil"/>
              <w:left w:val="nil"/>
              <w:bottom w:val="nil"/>
              <w:right w:val="nil"/>
            </w:tcBorders>
            <w:shd w:val="clear" w:color="auto" w:fill="auto"/>
            <w:noWrap/>
            <w:vAlign w:val="bottom"/>
            <w:hideMark/>
          </w:tcPr>
          <w:p w:rsidR="00196DEB" w:rsidRPr="00840081" w:rsidRDefault="00196DEB" w:rsidP="0049784C">
            <w:pPr>
              <w:rPr>
                <w:sz w:val="20"/>
                <w:szCs w:val="20"/>
              </w:rPr>
            </w:pPr>
          </w:p>
        </w:tc>
        <w:tc>
          <w:tcPr>
            <w:tcW w:w="1600" w:type="dxa"/>
            <w:tcBorders>
              <w:top w:val="nil"/>
              <w:left w:val="nil"/>
              <w:bottom w:val="nil"/>
              <w:right w:val="nil"/>
            </w:tcBorders>
            <w:shd w:val="clear" w:color="auto" w:fill="auto"/>
            <w:noWrap/>
            <w:vAlign w:val="bottom"/>
            <w:hideMark/>
          </w:tcPr>
          <w:p w:rsidR="00196DEB" w:rsidRPr="00840081" w:rsidRDefault="00196DEB" w:rsidP="0049784C">
            <w:pPr>
              <w:rPr>
                <w:sz w:val="20"/>
                <w:szCs w:val="20"/>
              </w:rPr>
            </w:pPr>
          </w:p>
        </w:tc>
      </w:tr>
      <w:tr w:rsidR="00196DEB" w:rsidRPr="00840081" w:rsidTr="0049784C">
        <w:trPr>
          <w:trHeight w:val="510"/>
        </w:trPr>
        <w:tc>
          <w:tcPr>
            <w:tcW w:w="3760" w:type="dxa"/>
            <w:tcBorders>
              <w:top w:val="nil"/>
              <w:left w:val="single" w:sz="4" w:space="0" w:color="auto"/>
              <w:bottom w:val="nil"/>
              <w:right w:val="nil"/>
            </w:tcBorders>
            <w:shd w:val="clear" w:color="auto" w:fill="auto"/>
            <w:vAlign w:val="bottom"/>
            <w:hideMark/>
          </w:tcPr>
          <w:p w:rsidR="00196DEB" w:rsidRPr="00840081" w:rsidRDefault="00196DEB" w:rsidP="0049784C">
            <w:pPr>
              <w:rPr>
                <w:rFonts w:ascii="Arial" w:hAnsi="Arial" w:cs="Arial"/>
                <w:sz w:val="20"/>
                <w:szCs w:val="20"/>
              </w:rPr>
            </w:pPr>
            <w:r w:rsidRPr="00840081">
              <w:rPr>
                <w:rFonts w:ascii="Arial" w:hAnsi="Arial" w:cs="Arial"/>
                <w:sz w:val="20"/>
                <w:szCs w:val="20"/>
              </w:rPr>
              <w:t>Entrate da alienazioni che finanziano spese rimborso prestiti</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6DEB" w:rsidRPr="00840081" w:rsidRDefault="00196DEB" w:rsidP="0049784C">
            <w:pPr>
              <w:jc w:val="right"/>
              <w:rPr>
                <w:rFonts w:ascii="Arial" w:hAnsi="Arial" w:cs="Arial"/>
                <w:sz w:val="20"/>
                <w:szCs w:val="20"/>
              </w:rPr>
            </w:pPr>
            <w:r w:rsidRPr="00840081">
              <w:rPr>
                <w:rFonts w:ascii="Arial" w:hAnsi="Arial" w:cs="Arial"/>
                <w:sz w:val="20"/>
                <w:szCs w:val="20"/>
              </w:rPr>
              <w:t>600.000,00</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196DEB" w:rsidRPr="00840081" w:rsidRDefault="00196DEB" w:rsidP="0049784C">
            <w:pPr>
              <w:rPr>
                <w:rFonts w:ascii="Arial" w:hAnsi="Arial" w:cs="Arial"/>
                <w:sz w:val="20"/>
                <w:szCs w:val="20"/>
              </w:rPr>
            </w:pPr>
            <w:r w:rsidRPr="00840081">
              <w:rPr>
                <w:rFonts w:ascii="Arial" w:hAnsi="Arial" w:cs="Arial"/>
                <w:sz w:val="20"/>
                <w:szCs w:val="20"/>
              </w:rPr>
              <w:t xml:space="preserve">        400.000,00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196DEB" w:rsidRPr="00840081" w:rsidRDefault="00196DEB" w:rsidP="0049784C">
            <w:pPr>
              <w:rPr>
                <w:rFonts w:ascii="Arial" w:hAnsi="Arial" w:cs="Arial"/>
                <w:sz w:val="20"/>
                <w:szCs w:val="20"/>
              </w:rPr>
            </w:pPr>
            <w:r w:rsidRPr="00840081">
              <w:rPr>
                <w:rFonts w:ascii="Arial" w:hAnsi="Arial" w:cs="Arial"/>
                <w:sz w:val="20"/>
                <w:szCs w:val="20"/>
              </w:rPr>
              <w:t xml:space="preserve">        400.000,00 </w:t>
            </w:r>
          </w:p>
        </w:tc>
      </w:tr>
      <w:tr w:rsidR="00196DEB" w:rsidRPr="00840081" w:rsidTr="0049784C">
        <w:trPr>
          <w:trHeight w:val="555"/>
        </w:trPr>
        <w:tc>
          <w:tcPr>
            <w:tcW w:w="3760" w:type="dxa"/>
            <w:tcBorders>
              <w:top w:val="nil"/>
              <w:left w:val="single" w:sz="4" w:space="0" w:color="auto"/>
              <w:bottom w:val="nil"/>
              <w:right w:val="nil"/>
            </w:tcBorders>
            <w:shd w:val="clear" w:color="auto" w:fill="auto"/>
            <w:vAlign w:val="bottom"/>
            <w:hideMark/>
          </w:tcPr>
          <w:p w:rsidR="00196DEB" w:rsidRPr="00840081" w:rsidRDefault="00196DEB" w:rsidP="0049784C">
            <w:pPr>
              <w:rPr>
                <w:rFonts w:ascii="Arial" w:hAnsi="Arial" w:cs="Arial"/>
                <w:sz w:val="20"/>
                <w:szCs w:val="20"/>
              </w:rPr>
            </w:pPr>
            <w:r w:rsidRPr="00840081">
              <w:rPr>
                <w:rFonts w:ascii="Arial" w:hAnsi="Arial" w:cs="Arial"/>
                <w:sz w:val="20"/>
                <w:szCs w:val="20"/>
              </w:rPr>
              <w:t> </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196DEB" w:rsidRPr="00840081" w:rsidRDefault="00196DEB" w:rsidP="0049784C">
            <w:pPr>
              <w:jc w:val="right"/>
              <w:rPr>
                <w:rFonts w:ascii="Arial" w:hAnsi="Arial" w:cs="Arial"/>
                <w:b/>
                <w:bCs/>
                <w:sz w:val="20"/>
                <w:szCs w:val="20"/>
              </w:rPr>
            </w:pPr>
            <w:r w:rsidRPr="00840081">
              <w:rPr>
                <w:rFonts w:ascii="Arial" w:hAnsi="Arial" w:cs="Arial"/>
                <w:b/>
                <w:bCs/>
                <w:sz w:val="20"/>
                <w:szCs w:val="20"/>
              </w:rPr>
              <w:t>718.483.481,08</w:t>
            </w:r>
          </w:p>
        </w:tc>
        <w:tc>
          <w:tcPr>
            <w:tcW w:w="1580" w:type="dxa"/>
            <w:tcBorders>
              <w:top w:val="nil"/>
              <w:left w:val="nil"/>
              <w:bottom w:val="single" w:sz="4" w:space="0" w:color="auto"/>
              <w:right w:val="single" w:sz="4" w:space="0" w:color="auto"/>
            </w:tcBorders>
            <w:shd w:val="clear" w:color="auto" w:fill="auto"/>
            <w:noWrap/>
            <w:vAlign w:val="bottom"/>
            <w:hideMark/>
          </w:tcPr>
          <w:p w:rsidR="00196DEB" w:rsidRPr="00840081" w:rsidRDefault="00196DEB" w:rsidP="0049784C">
            <w:pPr>
              <w:jc w:val="right"/>
              <w:rPr>
                <w:rFonts w:ascii="Arial" w:hAnsi="Arial" w:cs="Arial"/>
                <w:b/>
                <w:bCs/>
                <w:sz w:val="20"/>
                <w:szCs w:val="20"/>
              </w:rPr>
            </w:pPr>
            <w:r w:rsidRPr="00840081">
              <w:rPr>
                <w:rFonts w:ascii="Arial" w:hAnsi="Arial" w:cs="Arial"/>
                <w:b/>
                <w:bCs/>
                <w:sz w:val="20"/>
                <w:szCs w:val="20"/>
              </w:rPr>
              <w:t>667.676.835,65</w:t>
            </w:r>
          </w:p>
        </w:tc>
        <w:tc>
          <w:tcPr>
            <w:tcW w:w="1600" w:type="dxa"/>
            <w:tcBorders>
              <w:top w:val="nil"/>
              <w:left w:val="nil"/>
              <w:bottom w:val="single" w:sz="4" w:space="0" w:color="auto"/>
              <w:right w:val="single" w:sz="4" w:space="0" w:color="auto"/>
            </w:tcBorders>
            <w:shd w:val="clear" w:color="auto" w:fill="auto"/>
            <w:noWrap/>
            <w:vAlign w:val="bottom"/>
            <w:hideMark/>
          </w:tcPr>
          <w:p w:rsidR="00196DEB" w:rsidRPr="00840081" w:rsidRDefault="00196DEB" w:rsidP="0049784C">
            <w:pPr>
              <w:jc w:val="right"/>
              <w:rPr>
                <w:rFonts w:ascii="Arial" w:hAnsi="Arial" w:cs="Arial"/>
                <w:b/>
                <w:bCs/>
                <w:sz w:val="20"/>
                <w:szCs w:val="20"/>
              </w:rPr>
            </w:pPr>
            <w:r w:rsidRPr="00840081">
              <w:rPr>
                <w:rFonts w:ascii="Arial" w:hAnsi="Arial" w:cs="Arial"/>
                <w:b/>
                <w:bCs/>
                <w:sz w:val="20"/>
                <w:szCs w:val="20"/>
              </w:rPr>
              <w:t>687.587.931,34</w:t>
            </w:r>
          </w:p>
        </w:tc>
      </w:tr>
      <w:tr w:rsidR="00196DEB" w:rsidRPr="00840081" w:rsidTr="0049784C">
        <w:trPr>
          <w:trHeight w:val="255"/>
        </w:trPr>
        <w:tc>
          <w:tcPr>
            <w:tcW w:w="3760" w:type="dxa"/>
            <w:tcBorders>
              <w:top w:val="nil"/>
              <w:left w:val="single" w:sz="4" w:space="0" w:color="auto"/>
              <w:bottom w:val="nil"/>
              <w:right w:val="nil"/>
            </w:tcBorders>
            <w:shd w:val="clear" w:color="auto" w:fill="auto"/>
            <w:vAlign w:val="bottom"/>
            <w:hideMark/>
          </w:tcPr>
          <w:p w:rsidR="00196DEB" w:rsidRPr="00840081" w:rsidRDefault="00196DEB" w:rsidP="0049784C">
            <w:pPr>
              <w:rPr>
                <w:rFonts w:ascii="Arial" w:hAnsi="Arial" w:cs="Arial"/>
                <w:b/>
                <w:bCs/>
                <w:sz w:val="20"/>
                <w:szCs w:val="20"/>
              </w:rPr>
            </w:pPr>
            <w:r w:rsidRPr="00840081">
              <w:rPr>
                <w:rFonts w:ascii="Arial" w:hAnsi="Arial" w:cs="Arial"/>
                <w:b/>
                <w:bCs/>
                <w:sz w:val="20"/>
                <w:szCs w:val="20"/>
              </w:rPr>
              <w:t>SPESA</w:t>
            </w:r>
          </w:p>
        </w:tc>
        <w:tc>
          <w:tcPr>
            <w:tcW w:w="1540" w:type="dxa"/>
            <w:tcBorders>
              <w:top w:val="nil"/>
              <w:left w:val="nil"/>
              <w:bottom w:val="nil"/>
              <w:right w:val="nil"/>
            </w:tcBorders>
            <w:shd w:val="clear" w:color="auto" w:fill="auto"/>
            <w:vAlign w:val="bottom"/>
            <w:hideMark/>
          </w:tcPr>
          <w:p w:rsidR="00196DEB" w:rsidRPr="00840081" w:rsidRDefault="00196DEB" w:rsidP="0049784C">
            <w:pPr>
              <w:rPr>
                <w:rFonts w:ascii="Arial" w:hAnsi="Arial" w:cs="Arial"/>
                <w:b/>
                <w:bCs/>
                <w:sz w:val="20"/>
                <w:szCs w:val="20"/>
              </w:rPr>
            </w:pPr>
          </w:p>
        </w:tc>
        <w:tc>
          <w:tcPr>
            <w:tcW w:w="1580" w:type="dxa"/>
            <w:tcBorders>
              <w:top w:val="nil"/>
              <w:left w:val="nil"/>
              <w:bottom w:val="nil"/>
              <w:right w:val="nil"/>
            </w:tcBorders>
            <w:shd w:val="clear" w:color="auto" w:fill="auto"/>
            <w:noWrap/>
            <w:vAlign w:val="bottom"/>
            <w:hideMark/>
          </w:tcPr>
          <w:p w:rsidR="00196DEB" w:rsidRPr="00840081" w:rsidRDefault="00196DEB" w:rsidP="0049784C">
            <w:pPr>
              <w:rPr>
                <w:sz w:val="20"/>
                <w:szCs w:val="20"/>
              </w:rPr>
            </w:pPr>
          </w:p>
        </w:tc>
        <w:tc>
          <w:tcPr>
            <w:tcW w:w="1600" w:type="dxa"/>
            <w:tcBorders>
              <w:top w:val="nil"/>
              <w:left w:val="nil"/>
              <w:bottom w:val="nil"/>
              <w:right w:val="nil"/>
            </w:tcBorders>
            <w:shd w:val="clear" w:color="auto" w:fill="auto"/>
            <w:noWrap/>
            <w:vAlign w:val="bottom"/>
            <w:hideMark/>
          </w:tcPr>
          <w:p w:rsidR="00196DEB" w:rsidRPr="00840081" w:rsidRDefault="00196DEB" w:rsidP="0049784C">
            <w:pPr>
              <w:rPr>
                <w:sz w:val="20"/>
                <w:szCs w:val="20"/>
              </w:rPr>
            </w:pPr>
          </w:p>
        </w:tc>
      </w:tr>
      <w:tr w:rsidR="00196DEB" w:rsidRPr="00840081" w:rsidTr="0049784C">
        <w:trPr>
          <w:trHeight w:val="510"/>
        </w:trPr>
        <w:tc>
          <w:tcPr>
            <w:tcW w:w="3760" w:type="dxa"/>
            <w:tcBorders>
              <w:top w:val="nil"/>
              <w:left w:val="single" w:sz="4" w:space="0" w:color="auto"/>
              <w:bottom w:val="nil"/>
              <w:right w:val="nil"/>
            </w:tcBorders>
            <w:shd w:val="clear" w:color="auto" w:fill="auto"/>
            <w:vAlign w:val="bottom"/>
            <w:hideMark/>
          </w:tcPr>
          <w:p w:rsidR="00196DEB" w:rsidRPr="00840081" w:rsidRDefault="00196DEB" w:rsidP="0049784C">
            <w:pPr>
              <w:rPr>
                <w:rFonts w:ascii="Arial" w:hAnsi="Arial" w:cs="Arial"/>
                <w:sz w:val="20"/>
                <w:szCs w:val="20"/>
              </w:rPr>
            </w:pPr>
            <w:r w:rsidRPr="00840081">
              <w:rPr>
                <w:rFonts w:ascii="Arial" w:hAnsi="Arial" w:cs="Arial"/>
                <w:sz w:val="20"/>
                <w:szCs w:val="20"/>
              </w:rPr>
              <w:t>Disavanzo di amministrazione da riaccertamento straordinario residui</w:t>
            </w:r>
          </w:p>
        </w:tc>
        <w:tc>
          <w:tcPr>
            <w:tcW w:w="1540" w:type="dxa"/>
            <w:tcBorders>
              <w:top w:val="single" w:sz="4" w:space="0" w:color="auto"/>
              <w:left w:val="single" w:sz="4" w:space="0" w:color="auto"/>
              <w:bottom w:val="nil"/>
              <w:right w:val="single" w:sz="4" w:space="0" w:color="auto"/>
            </w:tcBorders>
            <w:shd w:val="clear" w:color="auto" w:fill="auto"/>
            <w:vAlign w:val="bottom"/>
            <w:hideMark/>
          </w:tcPr>
          <w:p w:rsidR="00196DEB" w:rsidRPr="00840081" w:rsidRDefault="00196DEB" w:rsidP="0049784C">
            <w:pPr>
              <w:jc w:val="right"/>
              <w:rPr>
                <w:rFonts w:ascii="Arial" w:hAnsi="Arial" w:cs="Arial"/>
                <w:sz w:val="20"/>
                <w:szCs w:val="20"/>
              </w:rPr>
            </w:pPr>
            <w:r w:rsidRPr="00840081">
              <w:rPr>
                <w:rFonts w:ascii="Arial" w:hAnsi="Arial" w:cs="Arial"/>
                <w:sz w:val="20"/>
                <w:szCs w:val="20"/>
              </w:rPr>
              <w:t>5.097.494,41</w:t>
            </w:r>
          </w:p>
        </w:tc>
        <w:tc>
          <w:tcPr>
            <w:tcW w:w="1580" w:type="dxa"/>
            <w:tcBorders>
              <w:top w:val="single" w:sz="4" w:space="0" w:color="auto"/>
              <w:left w:val="nil"/>
              <w:bottom w:val="nil"/>
              <w:right w:val="single" w:sz="4" w:space="0" w:color="auto"/>
            </w:tcBorders>
            <w:shd w:val="clear" w:color="auto" w:fill="auto"/>
            <w:noWrap/>
            <w:vAlign w:val="bottom"/>
            <w:hideMark/>
          </w:tcPr>
          <w:p w:rsidR="00196DEB" w:rsidRPr="00840081" w:rsidRDefault="00196DEB" w:rsidP="0049784C">
            <w:pPr>
              <w:rPr>
                <w:rFonts w:ascii="Arial" w:hAnsi="Arial" w:cs="Arial"/>
                <w:sz w:val="20"/>
                <w:szCs w:val="20"/>
              </w:rPr>
            </w:pPr>
            <w:r w:rsidRPr="00840081">
              <w:rPr>
                <w:rFonts w:ascii="Arial" w:hAnsi="Arial" w:cs="Arial"/>
                <w:sz w:val="20"/>
                <w:szCs w:val="20"/>
              </w:rPr>
              <w:t xml:space="preserve">     5.097.494,41 </w:t>
            </w:r>
          </w:p>
        </w:tc>
        <w:tc>
          <w:tcPr>
            <w:tcW w:w="1600" w:type="dxa"/>
            <w:tcBorders>
              <w:top w:val="single" w:sz="4" w:space="0" w:color="auto"/>
              <w:left w:val="nil"/>
              <w:bottom w:val="nil"/>
              <w:right w:val="single" w:sz="4" w:space="0" w:color="auto"/>
            </w:tcBorders>
            <w:shd w:val="clear" w:color="auto" w:fill="auto"/>
            <w:noWrap/>
            <w:vAlign w:val="bottom"/>
            <w:hideMark/>
          </w:tcPr>
          <w:p w:rsidR="00196DEB" w:rsidRPr="00840081" w:rsidRDefault="00196DEB" w:rsidP="0049784C">
            <w:pPr>
              <w:rPr>
                <w:rFonts w:ascii="Arial" w:hAnsi="Arial" w:cs="Arial"/>
                <w:sz w:val="20"/>
                <w:szCs w:val="20"/>
              </w:rPr>
            </w:pPr>
            <w:r w:rsidRPr="00840081">
              <w:rPr>
                <w:rFonts w:ascii="Arial" w:hAnsi="Arial" w:cs="Arial"/>
                <w:sz w:val="20"/>
                <w:szCs w:val="20"/>
              </w:rPr>
              <w:t xml:space="preserve">     5.097.494,41 </w:t>
            </w:r>
          </w:p>
        </w:tc>
      </w:tr>
      <w:tr w:rsidR="00196DEB" w:rsidRPr="00840081" w:rsidTr="0049784C">
        <w:trPr>
          <w:trHeight w:val="255"/>
        </w:trPr>
        <w:tc>
          <w:tcPr>
            <w:tcW w:w="3760" w:type="dxa"/>
            <w:tcBorders>
              <w:top w:val="nil"/>
              <w:left w:val="single" w:sz="4" w:space="0" w:color="auto"/>
              <w:bottom w:val="nil"/>
              <w:right w:val="nil"/>
            </w:tcBorders>
            <w:shd w:val="clear" w:color="auto" w:fill="auto"/>
            <w:vAlign w:val="center"/>
            <w:hideMark/>
          </w:tcPr>
          <w:p w:rsidR="00196DEB" w:rsidRPr="00840081" w:rsidRDefault="00196DEB" w:rsidP="0049784C">
            <w:pPr>
              <w:rPr>
                <w:rFonts w:ascii="Arial" w:hAnsi="Arial" w:cs="Arial"/>
                <w:sz w:val="18"/>
                <w:szCs w:val="18"/>
              </w:rPr>
            </w:pPr>
            <w:r w:rsidRPr="00840081">
              <w:rPr>
                <w:rFonts w:ascii="Arial" w:hAnsi="Arial" w:cs="Arial"/>
                <w:sz w:val="18"/>
                <w:szCs w:val="18"/>
              </w:rPr>
              <w:t>TITOL0 1 - Spese correnti</w:t>
            </w:r>
          </w:p>
        </w:tc>
        <w:tc>
          <w:tcPr>
            <w:tcW w:w="1540" w:type="dxa"/>
            <w:tcBorders>
              <w:top w:val="nil"/>
              <w:left w:val="single" w:sz="4" w:space="0" w:color="auto"/>
              <w:bottom w:val="nil"/>
              <w:right w:val="single" w:sz="4" w:space="0" w:color="auto"/>
            </w:tcBorders>
            <w:shd w:val="clear" w:color="auto" w:fill="auto"/>
            <w:noWrap/>
            <w:vAlign w:val="bottom"/>
            <w:hideMark/>
          </w:tcPr>
          <w:p w:rsidR="00196DEB" w:rsidRPr="00840081" w:rsidRDefault="00196DEB" w:rsidP="0049784C">
            <w:pPr>
              <w:jc w:val="right"/>
              <w:rPr>
                <w:rFonts w:ascii="Arial" w:hAnsi="Arial" w:cs="Arial"/>
                <w:sz w:val="20"/>
                <w:szCs w:val="20"/>
              </w:rPr>
            </w:pPr>
            <w:r w:rsidRPr="00840081">
              <w:rPr>
                <w:rFonts w:ascii="Arial" w:hAnsi="Arial" w:cs="Arial"/>
                <w:sz w:val="20"/>
                <w:szCs w:val="20"/>
              </w:rPr>
              <w:t>683.115.152,92</w:t>
            </w:r>
          </w:p>
        </w:tc>
        <w:tc>
          <w:tcPr>
            <w:tcW w:w="1580" w:type="dxa"/>
            <w:tcBorders>
              <w:top w:val="nil"/>
              <w:left w:val="nil"/>
              <w:bottom w:val="nil"/>
              <w:right w:val="single" w:sz="4" w:space="0" w:color="auto"/>
            </w:tcBorders>
            <w:shd w:val="clear" w:color="auto" w:fill="auto"/>
            <w:noWrap/>
            <w:vAlign w:val="bottom"/>
            <w:hideMark/>
          </w:tcPr>
          <w:p w:rsidR="00196DEB" w:rsidRPr="00840081" w:rsidRDefault="00196DEB" w:rsidP="0049784C">
            <w:pPr>
              <w:rPr>
                <w:rFonts w:ascii="Arial" w:hAnsi="Arial" w:cs="Arial"/>
                <w:sz w:val="20"/>
                <w:szCs w:val="20"/>
              </w:rPr>
            </w:pPr>
            <w:r w:rsidRPr="00840081">
              <w:rPr>
                <w:rFonts w:ascii="Arial" w:hAnsi="Arial" w:cs="Arial"/>
                <w:sz w:val="20"/>
                <w:szCs w:val="20"/>
              </w:rPr>
              <w:t xml:space="preserve"> 635.446.568,88 </w:t>
            </w:r>
          </w:p>
        </w:tc>
        <w:tc>
          <w:tcPr>
            <w:tcW w:w="1600" w:type="dxa"/>
            <w:tcBorders>
              <w:top w:val="nil"/>
              <w:left w:val="nil"/>
              <w:bottom w:val="nil"/>
              <w:right w:val="single" w:sz="4" w:space="0" w:color="auto"/>
            </w:tcBorders>
            <w:shd w:val="clear" w:color="auto" w:fill="auto"/>
            <w:noWrap/>
            <w:vAlign w:val="bottom"/>
            <w:hideMark/>
          </w:tcPr>
          <w:p w:rsidR="00196DEB" w:rsidRPr="00840081" w:rsidRDefault="00196DEB" w:rsidP="0049784C">
            <w:pPr>
              <w:rPr>
                <w:rFonts w:ascii="Arial" w:hAnsi="Arial" w:cs="Arial"/>
                <w:sz w:val="20"/>
                <w:szCs w:val="20"/>
              </w:rPr>
            </w:pPr>
            <w:r w:rsidRPr="00840081">
              <w:rPr>
                <w:rFonts w:ascii="Arial" w:hAnsi="Arial" w:cs="Arial"/>
                <w:sz w:val="20"/>
                <w:szCs w:val="20"/>
              </w:rPr>
              <w:t xml:space="preserve">  645.499.243,82 </w:t>
            </w:r>
          </w:p>
        </w:tc>
      </w:tr>
      <w:tr w:rsidR="00196DEB" w:rsidRPr="00840081" w:rsidTr="0049784C">
        <w:trPr>
          <w:trHeight w:val="255"/>
        </w:trPr>
        <w:tc>
          <w:tcPr>
            <w:tcW w:w="3760" w:type="dxa"/>
            <w:tcBorders>
              <w:top w:val="nil"/>
              <w:left w:val="single" w:sz="4" w:space="0" w:color="auto"/>
              <w:bottom w:val="nil"/>
              <w:right w:val="nil"/>
            </w:tcBorders>
            <w:shd w:val="clear" w:color="auto" w:fill="auto"/>
            <w:vAlign w:val="center"/>
            <w:hideMark/>
          </w:tcPr>
          <w:p w:rsidR="00196DEB" w:rsidRPr="00840081" w:rsidRDefault="00196DEB" w:rsidP="0049784C">
            <w:pPr>
              <w:rPr>
                <w:rFonts w:ascii="Arial" w:hAnsi="Arial" w:cs="Arial"/>
                <w:sz w:val="18"/>
                <w:szCs w:val="18"/>
              </w:rPr>
            </w:pPr>
            <w:r w:rsidRPr="00840081">
              <w:rPr>
                <w:rFonts w:ascii="Arial" w:hAnsi="Arial" w:cs="Arial"/>
                <w:sz w:val="18"/>
                <w:szCs w:val="18"/>
              </w:rPr>
              <w:t>TITOLO 4 - Rimborso prestiti</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196DEB" w:rsidRPr="00840081" w:rsidRDefault="00196DEB" w:rsidP="0049784C">
            <w:pPr>
              <w:jc w:val="right"/>
              <w:rPr>
                <w:rFonts w:ascii="Arial" w:hAnsi="Arial" w:cs="Arial"/>
                <w:sz w:val="20"/>
                <w:szCs w:val="20"/>
              </w:rPr>
            </w:pPr>
            <w:r w:rsidRPr="00840081">
              <w:rPr>
                <w:rFonts w:ascii="Arial" w:hAnsi="Arial" w:cs="Arial"/>
                <w:sz w:val="20"/>
                <w:szCs w:val="20"/>
              </w:rPr>
              <w:t>35.170.833,75</w:t>
            </w:r>
          </w:p>
        </w:tc>
        <w:tc>
          <w:tcPr>
            <w:tcW w:w="1580" w:type="dxa"/>
            <w:tcBorders>
              <w:top w:val="nil"/>
              <w:left w:val="nil"/>
              <w:bottom w:val="single" w:sz="4" w:space="0" w:color="auto"/>
              <w:right w:val="single" w:sz="4" w:space="0" w:color="auto"/>
            </w:tcBorders>
            <w:shd w:val="clear" w:color="auto" w:fill="auto"/>
            <w:noWrap/>
            <w:vAlign w:val="bottom"/>
            <w:hideMark/>
          </w:tcPr>
          <w:p w:rsidR="00196DEB" w:rsidRPr="00840081" w:rsidRDefault="00196DEB" w:rsidP="0049784C">
            <w:pPr>
              <w:rPr>
                <w:rFonts w:ascii="Arial" w:hAnsi="Arial" w:cs="Arial"/>
                <w:sz w:val="20"/>
                <w:szCs w:val="20"/>
              </w:rPr>
            </w:pPr>
            <w:r w:rsidRPr="00840081">
              <w:rPr>
                <w:rFonts w:ascii="Arial" w:hAnsi="Arial" w:cs="Arial"/>
                <w:sz w:val="20"/>
                <w:szCs w:val="20"/>
              </w:rPr>
              <w:t xml:space="preserve">   34.532.772,36 </w:t>
            </w:r>
          </w:p>
        </w:tc>
        <w:tc>
          <w:tcPr>
            <w:tcW w:w="1600" w:type="dxa"/>
            <w:tcBorders>
              <w:top w:val="nil"/>
              <w:left w:val="nil"/>
              <w:bottom w:val="single" w:sz="4" w:space="0" w:color="auto"/>
              <w:right w:val="single" w:sz="4" w:space="0" w:color="auto"/>
            </w:tcBorders>
            <w:shd w:val="clear" w:color="auto" w:fill="auto"/>
            <w:noWrap/>
            <w:vAlign w:val="bottom"/>
            <w:hideMark/>
          </w:tcPr>
          <w:p w:rsidR="00196DEB" w:rsidRPr="00840081" w:rsidRDefault="00196DEB" w:rsidP="0049784C">
            <w:pPr>
              <w:rPr>
                <w:rFonts w:ascii="Arial" w:hAnsi="Arial" w:cs="Arial"/>
                <w:sz w:val="20"/>
                <w:szCs w:val="20"/>
              </w:rPr>
            </w:pPr>
            <w:r w:rsidRPr="00840081">
              <w:rPr>
                <w:rFonts w:ascii="Arial" w:hAnsi="Arial" w:cs="Arial"/>
                <w:sz w:val="20"/>
                <w:szCs w:val="20"/>
              </w:rPr>
              <w:t xml:space="preserve">   36.991.193,11 </w:t>
            </w:r>
          </w:p>
        </w:tc>
      </w:tr>
      <w:tr w:rsidR="00196DEB" w:rsidRPr="00840081" w:rsidTr="0049784C">
        <w:trPr>
          <w:trHeight w:val="255"/>
        </w:trPr>
        <w:tc>
          <w:tcPr>
            <w:tcW w:w="3760" w:type="dxa"/>
            <w:tcBorders>
              <w:top w:val="nil"/>
              <w:left w:val="single" w:sz="4" w:space="0" w:color="auto"/>
              <w:bottom w:val="nil"/>
              <w:right w:val="nil"/>
            </w:tcBorders>
            <w:shd w:val="clear" w:color="auto" w:fill="auto"/>
            <w:vAlign w:val="bottom"/>
            <w:hideMark/>
          </w:tcPr>
          <w:p w:rsidR="00196DEB" w:rsidRPr="00840081" w:rsidRDefault="00196DEB" w:rsidP="0049784C">
            <w:pPr>
              <w:jc w:val="center"/>
              <w:rPr>
                <w:rFonts w:ascii="Arial" w:hAnsi="Arial" w:cs="Arial"/>
                <w:b/>
                <w:bCs/>
                <w:color w:val="FF0000"/>
                <w:sz w:val="20"/>
                <w:szCs w:val="20"/>
              </w:rPr>
            </w:pPr>
            <w:r w:rsidRPr="00840081">
              <w:rPr>
                <w:rFonts w:ascii="Arial" w:hAnsi="Arial" w:cs="Arial"/>
                <w:b/>
                <w:bCs/>
                <w:color w:val="FF0000"/>
                <w:sz w:val="20"/>
                <w:szCs w:val="20"/>
              </w:rPr>
              <w:t> </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196DEB" w:rsidRPr="00840081" w:rsidRDefault="00196DEB" w:rsidP="0049784C">
            <w:pPr>
              <w:jc w:val="right"/>
              <w:rPr>
                <w:rFonts w:ascii="Arial" w:hAnsi="Arial" w:cs="Arial"/>
                <w:sz w:val="20"/>
                <w:szCs w:val="20"/>
              </w:rPr>
            </w:pPr>
            <w:r w:rsidRPr="00840081">
              <w:rPr>
                <w:rFonts w:ascii="Arial" w:hAnsi="Arial" w:cs="Arial"/>
                <w:sz w:val="20"/>
                <w:szCs w:val="20"/>
              </w:rPr>
              <w:t>723.383.481,08</w:t>
            </w:r>
          </w:p>
        </w:tc>
        <w:tc>
          <w:tcPr>
            <w:tcW w:w="1580" w:type="dxa"/>
            <w:tcBorders>
              <w:top w:val="nil"/>
              <w:left w:val="nil"/>
              <w:bottom w:val="single" w:sz="4" w:space="0" w:color="auto"/>
              <w:right w:val="single" w:sz="4" w:space="0" w:color="auto"/>
            </w:tcBorders>
            <w:shd w:val="clear" w:color="auto" w:fill="auto"/>
            <w:noWrap/>
            <w:vAlign w:val="bottom"/>
            <w:hideMark/>
          </w:tcPr>
          <w:p w:rsidR="00196DEB" w:rsidRPr="00840081" w:rsidRDefault="00196DEB" w:rsidP="0049784C">
            <w:pPr>
              <w:jc w:val="right"/>
              <w:rPr>
                <w:rFonts w:ascii="Arial" w:hAnsi="Arial" w:cs="Arial"/>
                <w:sz w:val="20"/>
                <w:szCs w:val="20"/>
              </w:rPr>
            </w:pPr>
            <w:r w:rsidRPr="00840081">
              <w:rPr>
                <w:rFonts w:ascii="Arial" w:hAnsi="Arial" w:cs="Arial"/>
                <w:sz w:val="20"/>
                <w:szCs w:val="20"/>
              </w:rPr>
              <w:t>675.076.835,65</w:t>
            </w:r>
          </w:p>
        </w:tc>
        <w:tc>
          <w:tcPr>
            <w:tcW w:w="1600" w:type="dxa"/>
            <w:tcBorders>
              <w:top w:val="nil"/>
              <w:left w:val="nil"/>
              <w:bottom w:val="single" w:sz="4" w:space="0" w:color="auto"/>
              <w:right w:val="single" w:sz="4" w:space="0" w:color="auto"/>
            </w:tcBorders>
            <w:shd w:val="clear" w:color="auto" w:fill="auto"/>
            <w:noWrap/>
            <w:vAlign w:val="bottom"/>
            <w:hideMark/>
          </w:tcPr>
          <w:p w:rsidR="00196DEB" w:rsidRPr="00840081" w:rsidRDefault="00196DEB" w:rsidP="0049784C">
            <w:pPr>
              <w:jc w:val="right"/>
              <w:rPr>
                <w:rFonts w:ascii="Arial" w:hAnsi="Arial" w:cs="Arial"/>
                <w:sz w:val="20"/>
                <w:szCs w:val="20"/>
              </w:rPr>
            </w:pPr>
            <w:r w:rsidRPr="00840081">
              <w:rPr>
                <w:rFonts w:ascii="Arial" w:hAnsi="Arial" w:cs="Arial"/>
                <w:sz w:val="20"/>
                <w:szCs w:val="20"/>
              </w:rPr>
              <w:t>687.587.931,34</w:t>
            </w:r>
          </w:p>
        </w:tc>
      </w:tr>
      <w:tr w:rsidR="00196DEB" w:rsidRPr="00840081" w:rsidTr="0049784C">
        <w:trPr>
          <w:trHeight w:val="255"/>
        </w:trPr>
        <w:tc>
          <w:tcPr>
            <w:tcW w:w="3760" w:type="dxa"/>
            <w:tcBorders>
              <w:top w:val="nil"/>
              <w:left w:val="single" w:sz="4" w:space="0" w:color="auto"/>
              <w:bottom w:val="nil"/>
              <w:right w:val="nil"/>
            </w:tcBorders>
            <w:shd w:val="clear" w:color="auto" w:fill="auto"/>
            <w:vAlign w:val="bottom"/>
            <w:hideMark/>
          </w:tcPr>
          <w:p w:rsidR="00196DEB" w:rsidRPr="00840081" w:rsidRDefault="00196DEB" w:rsidP="0049784C">
            <w:pPr>
              <w:rPr>
                <w:rFonts w:ascii="Arial" w:hAnsi="Arial" w:cs="Arial"/>
                <w:sz w:val="20"/>
                <w:szCs w:val="20"/>
                <w:u w:val="single"/>
              </w:rPr>
            </w:pPr>
            <w:r w:rsidRPr="00840081">
              <w:rPr>
                <w:rFonts w:ascii="Arial" w:hAnsi="Arial" w:cs="Arial"/>
                <w:sz w:val="20"/>
                <w:szCs w:val="20"/>
                <w:u w:val="single"/>
              </w:rPr>
              <w:t>a detrarre:</w:t>
            </w:r>
          </w:p>
        </w:tc>
        <w:tc>
          <w:tcPr>
            <w:tcW w:w="1540" w:type="dxa"/>
            <w:tcBorders>
              <w:top w:val="nil"/>
              <w:left w:val="nil"/>
              <w:bottom w:val="nil"/>
              <w:right w:val="nil"/>
            </w:tcBorders>
            <w:shd w:val="clear" w:color="auto" w:fill="auto"/>
            <w:vAlign w:val="bottom"/>
            <w:hideMark/>
          </w:tcPr>
          <w:p w:rsidR="00196DEB" w:rsidRPr="00840081" w:rsidRDefault="00196DEB" w:rsidP="0049784C">
            <w:pPr>
              <w:rPr>
                <w:rFonts w:ascii="Arial" w:hAnsi="Arial" w:cs="Arial"/>
                <w:sz w:val="20"/>
                <w:szCs w:val="20"/>
                <w:u w:val="single"/>
              </w:rPr>
            </w:pPr>
          </w:p>
        </w:tc>
        <w:tc>
          <w:tcPr>
            <w:tcW w:w="1580" w:type="dxa"/>
            <w:tcBorders>
              <w:top w:val="nil"/>
              <w:left w:val="nil"/>
              <w:bottom w:val="nil"/>
              <w:right w:val="nil"/>
            </w:tcBorders>
            <w:shd w:val="clear" w:color="auto" w:fill="auto"/>
            <w:noWrap/>
            <w:vAlign w:val="bottom"/>
            <w:hideMark/>
          </w:tcPr>
          <w:p w:rsidR="00196DEB" w:rsidRPr="00840081" w:rsidRDefault="00196DEB" w:rsidP="0049784C">
            <w:pPr>
              <w:rPr>
                <w:sz w:val="20"/>
                <w:szCs w:val="20"/>
              </w:rPr>
            </w:pPr>
          </w:p>
        </w:tc>
        <w:tc>
          <w:tcPr>
            <w:tcW w:w="1600" w:type="dxa"/>
            <w:tcBorders>
              <w:top w:val="nil"/>
              <w:left w:val="nil"/>
              <w:bottom w:val="nil"/>
              <w:right w:val="nil"/>
            </w:tcBorders>
            <w:shd w:val="clear" w:color="auto" w:fill="auto"/>
            <w:noWrap/>
            <w:vAlign w:val="bottom"/>
            <w:hideMark/>
          </w:tcPr>
          <w:p w:rsidR="00196DEB" w:rsidRPr="00840081" w:rsidRDefault="00196DEB" w:rsidP="0049784C">
            <w:pPr>
              <w:rPr>
                <w:sz w:val="20"/>
                <w:szCs w:val="20"/>
              </w:rPr>
            </w:pPr>
          </w:p>
        </w:tc>
      </w:tr>
      <w:tr w:rsidR="00196DEB" w:rsidRPr="00840081" w:rsidTr="0049784C">
        <w:trPr>
          <w:trHeight w:val="525"/>
        </w:trPr>
        <w:tc>
          <w:tcPr>
            <w:tcW w:w="3760" w:type="dxa"/>
            <w:tcBorders>
              <w:top w:val="nil"/>
              <w:left w:val="single" w:sz="4" w:space="0" w:color="auto"/>
              <w:bottom w:val="nil"/>
              <w:right w:val="nil"/>
            </w:tcBorders>
            <w:shd w:val="clear" w:color="auto" w:fill="auto"/>
            <w:vAlign w:val="bottom"/>
            <w:hideMark/>
          </w:tcPr>
          <w:p w:rsidR="00196DEB" w:rsidRPr="00840081" w:rsidRDefault="00196DEB" w:rsidP="0049784C">
            <w:pPr>
              <w:rPr>
                <w:rFonts w:ascii="Arial" w:hAnsi="Arial" w:cs="Arial"/>
                <w:sz w:val="20"/>
                <w:szCs w:val="20"/>
              </w:rPr>
            </w:pPr>
            <w:r w:rsidRPr="00840081">
              <w:rPr>
                <w:rFonts w:ascii="Arial" w:hAnsi="Arial" w:cs="Arial"/>
                <w:sz w:val="20"/>
                <w:szCs w:val="20"/>
              </w:rPr>
              <w:t>Proventi per permessi a costruire e sanzioni</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96DEB" w:rsidRPr="00840081" w:rsidRDefault="00196DEB" w:rsidP="0049784C">
            <w:pPr>
              <w:jc w:val="right"/>
              <w:rPr>
                <w:rFonts w:ascii="Arial" w:hAnsi="Arial" w:cs="Arial"/>
                <w:sz w:val="20"/>
                <w:szCs w:val="20"/>
              </w:rPr>
            </w:pPr>
            <w:r w:rsidRPr="00840081">
              <w:rPr>
                <w:rFonts w:ascii="Arial" w:hAnsi="Arial" w:cs="Arial"/>
                <w:sz w:val="20"/>
                <w:szCs w:val="20"/>
              </w:rPr>
              <w:t>4.900.000,00</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196DEB" w:rsidRPr="00840081" w:rsidRDefault="00196DEB" w:rsidP="0049784C">
            <w:pPr>
              <w:rPr>
                <w:rFonts w:ascii="Arial" w:hAnsi="Arial" w:cs="Arial"/>
                <w:sz w:val="20"/>
                <w:szCs w:val="20"/>
              </w:rPr>
            </w:pPr>
            <w:r w:rsidRPr="00840081">
              <w:rPr>
                <w:rFonts w:ascii="Arial" w:hAnsi="Arial" w:cs="Arial"/>
                <w:sz w:val="20"/>
                <w:szCs w:val="20"/>
              </w:rPr>
              <w:t xml:space="preserve">     7.400.000,00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196DEB" w:rsidRPr="00840081" w:rsidRDefault="00196DEB" w:rsidP="0049784C">
            <w:pPr>
              <w:rPr>
                <w:rFonts w:ascii="Arial" w:hAnsi="Arial" w:cs="Arial"/>
                <w:sz w:val="20"/>
                <w:szCs w:val="20"/>
              </w:rPr>
            </w:pPr>
            <w:r w:rsidRPr="00840081">
              <w:rPr>
                <w:rFonts w:ascii="Arial" w:hAnsi="Arial" w:cs="Arial"/>
                <w:sz w:val="20"/>
                <w:szCs w:val="20"/>
              </w:rPr>
              <w:t xml:space="preserve">                     -   </w:t>
            </w:r>
          </w:p>
        </w:tc>
      </w:tr>
      <w:tr w:rsidR="00196DEB" w:rsidRPr="00840081" w:rsidTr="0049784C">
        <w:trPr>
          <w:trHeight w:val="495"/>
        </w:trPr>
        <w:tc>
          <w:tcPr>
            <w:tcW w:w="3760" w:type="dxa"/>
            <w:tcBorders>
              <w:top w:val="nil"/>
              <w:left w:val="single" w:sz="4" w:space="0" w:color="auto"/>
              <w:bottom w:val="single" w:sz="4" w:space="0" w:color="auto"/>
              <w:right w:val="single" w:sz="4" w:space="0" w:color="auto"/>
            </w:tcBorders>
            <w:shd w:val="clear" w:color="auto" w:fill="auto"/>
            <w:vAlign w:val="bottom"/>
            <w:hideMark/>
          </w:tcPr>
          <w:p w:rsidR="00196DEB" w:rsidRPr="00840081" w:rsidRDefault="00196DEB" w:rsidP="0049784C">
            <w:pPr>
              <w:rPr>
                <w:rFonts w:ascii="Arial" w:hAnsi="Arial" w:cs="Arial"/>
                <w:sz w:val="20"/>
                <w:szCs w:val="20"/>
              </w:rPr>
            </w:pPr>
            <w:r w:rsidRPr="00840081">
              <w:rPr>
                <w:rFonts w:ascii="Arial" w:hAnsi="Arial" w:cs="Arial"/>
                <w:sz w:val="20"/>
                <w:szCs w:val="20"/>
              </w:rPr>
              <w:t> </w:t>
            </w:r>
          </w:p>
        </w:tc>
        <w:tc>
          <w:tcPr>
            <w:tcW w:w="1540" w:type="dxa"/>
            <w:tcBorders>
              <w:top w:val="nil"/>
              <w:left w:val="nil"/>
              <w:bottom w:val="single" w:sz="4" w:space="0" w:color="auto"/>
              <w:right w:val="single" w:sz="4" w:space="0" w:color="auto"/>
            </w:tcBorders>
            <w:shd w:val="clear" w:color="auto" w:fill="auto"/>
            <w:vAlign w:val="bottom"/>
            <w:hideMark/>
          </w:tcPr>
          <w:p w:rsidR="00196DEB" w:rsidRPr="00840081" w:rsidRDefault="00196DEB" w:rsidP="0049784C">
            <w:pPr>
              <w:jc w:val="right"/>
              <w:rPr>
                <w:rFonts w:ascii="Arial" w:hAnsi="Arial" w:cs="Arial"/>
                <w:b/>
                <w:bCs/>
                <w:sz w:val="20"/>
                <w:szCs w:val="20"/>
              </w:rPr>
            </w:pPr>
            <w:r w:rsidRPr="00840081">
              <w:rPr>
                <w:rFonts w:ascii="Arial" w:hAnsi="Arial" w:cs="Arial"/>
                <w:b/>
                <w:bCs/>
                <w:sz w:val="20"/>
                <w:szCs w:val="20"/>
              </w:rPr>
              <w:t>718.483.481,08</w:t>
            </w:r>
          </w:p>
        </w:tc>
        <w:tc>
          <w:tcPr>
            <w:tcW w:w="1580" w:type="dxa"/>
            <w:tcBorders>
              <w:top w:val="nil"/>
              <w:left w:val="nil"/>
              <w:bottom w:val="single" w:sz="4" w:space="0" w:color="auto"/>
              <w:right w:val="single" w:sz="4" w:space="0" w:color="auto"/>
            </w:tcBorders>
            <w:shd w:val="clear" w:color="auto" w:fill="auto"/>
            <w:noWrap/>
            <w:vAlign w:val="bottom"/>
            <w:hideMark/>
          </w:tcPr>
          <w:p w:rsidR="00196DEB" w:rsidRPr="00840081" w:rsidRDefault="00196DEB" w:rsidP="0049784C">
            <w:pPr>
              <w:rPr>
                <w:rFonts w:ascii="Arial" w:hAnsi="Arial" w:cs="Arial"/>
                <w:b/>
                <w:bCs/>
                <w:sz w:val="20"/>
                <w:szCs w:val="20"/>
              </w:rPr>
            </w:pPr>
            <w:r w:rsidRPr="00840081">
              <w:rPr>
                <w:rFonts w:ascii="Arial" w:hAnsi="Arial" w:cs="Arial"/>
                <w:b/>
                <w:bCs/>
                <w:sz w:val="20"/>
                <w:szCs w:val="20"/>
              </w:rPr>
              <w:t xml:space="preserve"> 667.676.835,65 </w:t>
            </w:r>
          </w:p>
        </w:tc>
        <w:tc>
          <w:tcPr>
            <w:tcW w:w="1600" w:type="dxa"/>
            <w:tcBorders>
              <w:top w:val="nil"/>
              <w:left w:val="nil"/>
              <w:bottom w:val="single" w:sz="4" w:space="0" w:color="auto"/>
              <w:right w:val="single" w:sz="4" w:space="0" w:color="auto"/>
            </w:tcBorders>
            <w:shd w:val="clear" w:color="auto" w:fill="auto"/>
            <w:noWrap/>
            <w:vAlign w:val="bottom"/>
            <w:hideMark/>
          </w:tcPr>
          <w:p w:rsidR="00196DEB" w:rsidRPr="00840081" w:rsidRDefault="00196DEB" w:rsidP="0049784C">
            <w:pPr>
              <w:rPr>
                <w:rFonts w:ascii="Arial" w:hAnsi="Arial" w:cs="Arial"/>
                <w:b/>
                <w:bCs/>
                <w:sz w:val="20"/>
                <w:szCs w:val="20"/>
              </w:rPr>
            </w:pPr>
            <w:r w:rsidRPr="00840081">
              <w:rPr>
                <w:rFonts w:ascii="Arial" w:hAnsi="Arial" w:cs="Arial"/>
                <w:b/>
                <w:bCs/>
                <w:sz w:val="20"/>
                <w:szCs w:val="20"/>
              </w:rPr>
              <w:t xml:space="preserve">  687.587.931,34 </w:t>
            </w:r>
          </w:p>
        </w:tc>
      </w:tr>
    </w:tbl>
    <w:p w:rsidR="00196DEB" w:rsidRDefault="00196DEB" w:rsidP="00196DEB">
      <w:pPr>
        <w:rPr>
          <w:rFonts w:ascii="Arial" w:hAnsi="Arial" w:cs="Arial"/>
        </w:rPr>
      </w:pPr>
    </w:p>
    <w:p w:rsidR="00196DEB" w:rsidRDefault="00196DEB" w:rsidP="00196DEB">
      <w:pPr>
        <w:rPr>
          <w:rFonts w:ascii="Arial" w:hAnsi="Arial" w:cs="Arial"/>
        </w:rPr>
      </w:pPr>
    </w:p>
    <w:p w:rsidR="00196DEB" w:rsidRDefault="00196DEB" w:rsidP="00196DEB">
      <w:pPr>
        <w:rPr>
          <w:rFonts w:ascii="Arial" w:hAnsi="Arial" w:cs="Arial"/>
        </w:rPr>
      </w:pPr>
    </w:p>
    <w:p w:rsidR="00196DEB" w:rsidRDefault="00196DEB" w:rsidP="00196DEB">
      <w:pPr>
        <w:rPr>
          <w:rFonts w:ascii="Arial" w:hAnsi="Arial" w:cs="Arial"/>
        </w:rPr>
      </w:pPr>
    </w:p>
    <w:p w:rsidR="00196DEB" w:rsidRPr="00542B09" w:rsidRDefault="00196DEB" w:rsidP="00196DEB">
      <w:pPr>
        <w:autoSpaceDE w:val="0"/>
        <w:autoSpaceDN w:val="0"/>
        <w:adjustRightInd w:val="0"/>
        <w:spacing w:line="360" w:lineRule="auto"/>
        <w:jc w:val="both"/>
        <w:rPr>
          <w:rFonts w:ascii="Comic Sans MS" w:hAnsi="Comic Sans MS" w:cs="Arial"/>
        </w:rPr>
      </w:pPr>
      <w:r w:rsidRPr="00542B09">
        <w:rPr>
          <w:rFonts w:ascii="Comic Sans MS" w:hAnsi="Comic Sans MS" w:cs="Arial"/>
        </w:rPr>
        <w:t>Il Collegio, prende atto che il DUP è coerentemente modificato e rileva anche l’impatto delle variazioni sugli equilibri e sul pareggio di bilancio.</w:t>
      </w:r>
    </w:p>
    <w:p w:rsidR="00196DEB" w:rsidRPr="00542B09" w:rsidRDefault="00542B09" w:rsidP="00196DEB">
      <w:pPr>
        <w:autoSpaceDE w:val="0"/>
        <w:autoSpaceDN w:val="0"/>
        <w:adjustRightInd w:val="0"/>
        <w:spacing w:line="360" w:lineRule="auto"/>
        <w:jc w:val="both"/>
        <w:rPr>
          <w:rFonts w:ascii="Comic Sans MS" w:hAnsi="Comic Sans MS" w:cs="Arial"/>
        </w:rPr>
      </w:pPr>
      <w:r>
        <w:rPr>
          <w:rFonts w:ascii="Comic Sans MS" w:hAnsi="Comic Sans MS" w:cs="Arial"/>
        </w:rPr>
        <w:t>Il Collegio,</w:t>
      </w:r>
      <w:r w:rsidR="00196DEB" w:rsidRPr="00542B09">
        <w:rPr>
          <w:rFonts w:ascii="Comic Sans MS" w:hAnsi="Comic Sans MS" w:cs="Arial"/>
        </w:rPr>
        <w:t>, prende atto che con le variazioni proposte è assicurato l’obiettivo di pareggio finanziario di competenza cosi riassunto:</w:t>
      </w:r>
    </w:p>
    <w:bookmarkStart w:id="4" w:name="_MON_1525795940"/>
    <w:bookmarkEnd w:id="4"/>
    <w:p w:rsidR="00196DEB" w:rsidRDefault="00196DEB" w:rsidP="00196DEB">
      <w:pPr>
        <w:autoSpaceDE w:val="0"/>
        <w:autoSpaceDN w:val="0"/>
        <w:adjustRightInd w:val="0"/>
        <w:spacing w:line="360" w:lineRule="auto"/>
        <w:jc w:val="both"/>
        <w:rPr>
          <w:rFonts w:ascii="Arial" w:hAnsi="Arial" w:cs="Arial"/>
        </w:rPr>
      </w:pPr>
      <w:r w:rsidRPr="000E64E0">
        <w:rPr>
          <w:rFonts w:ascii="Arial" w:hAnsi="Arial" w:cs="Arial"/>
        </w:rPr>
        <w:object w:dxaOrig="1054" w:dyaOrig="310">
          <v:shape id="_x0000_i1028" type="#_x0000_t75" style="width:52.5pt;height:15.5pt" o:ole="">
            <v:imagedata r:id="rId17" o:title=""/>
          </v:shape>
          <o:OLEObject Type="Embed" ProgID="Excel.Sheet.12" ShapeID="_x0000_i1028" DrawAspect="Content" ObjectID="_1685867394" r:id="rId18"/>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5"/>
        <w:gridCol w:w="589"/>
        <w:gridCol w:w="1616"/>
        <w:gridCol w:w="1739"/>
        <w:gridCol w:w="1665"/>
      </w:tblGrid>
      <w:tr w:rsidR="00196DEB" w:rsidRPr="00173806" w:rsidTr="00196DEB">
        <w:trPr>
          <w:trHeight w:val="615"/>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xml:space="preserve">EQUILIBRIO ENTRATE FINALI - SPESE FINALI </w:t>
            </w:r>
            <w:r w:rsidRPr="00196DEB">
              <w:rPr>
                <w:rFonts w:ascii="Arial" w:eastAsia="Arial Unicode MS" w:hAnsi="Arial" w:cs="Arial"/>
                <w:b/>
                <w:bCs/>
                <w:color w:val="000000"/>
                <w:sz w:val="20"/>
                <w:u w:color="000000"/>
                <w:bdr w:val="nil"/>
              </w:rPr>
              <w:br/>
              <w:t>(ART. 1, comma 711, Legge di stabilità 2016)</w:t>
            </w:r>
          </w:p>
        </w:tc>
        <w:tc>
          <w:tcPr>
            <w:tcW w:w="589"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w:t>
            </w:r>
          </w:p>
        </w:tc>
        <w:tc>
          <w:tcPr>
            <w:tcW w:w="1616"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COMPETENZA  2016</w:t>
            </w:r>
          </w:p>
        </w:tc>
        <w:tc>
          <w:tcPr>
            <w:tcW w:w="1739"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COMPETENZA 2017</w:t>
            </w:r>
          </w:p>
        </w:tc>
        <w:tc>
          <w:tcPr>
            <w:tcW w:w="166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COMPETENZA 2018</w:t>
            </w:r>
          </w:p>
        </w:tc>
      </w:tr>
      <w:tr w:rsidR="00196DEB" w:rsidRPr="00173806" w:rsidTr="00196DEB">
        <w:trPr>
          <w:trHeight w:val="285"/>
        </w:trPr>
        <w:tc>
          <w:tcPr>
            <w:tcW w:w="424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r>
      <w:tr w:rsidR="00196DEB" w:rsidRPr="00173806" w:rsidTr="00196DEB">
        <w:trPr>
          <w:trHeight w:val="600"/>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A) Fondo pluriennale vincolato di entrata per spese correnti (solo per l'esercizio 2016)</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6.809.731,76</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w:t>
            </w:r>
          </w:p>
        </w:tc>
      </w:tr>
      <w:tr w:rsidR="00196DEB" w:rsidRPr="00173806" w:rsidTr="00196DEB">
        <w:trPr>
          <w:trHeight w:val="300"/>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w:t>
            </w:r>
          </w:p>
        </w:tc>
      </w:tr>
      <w:tr w:rsidR="00196DEB" w:rsidRPr="00173806" w:rsidTr="00196DEB">
        <w:trPr>
          <w:trHeight w:val="600"/>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B) Fondo pluriennale di entrata in conto capitale  al netto delle quote finanziate da debito (solo per l'esercizio 2016)</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w:t>
            </w:r>
          </w:p>
        </w:tc>
        <w:tc>
          <w:tcPr>
            <w:tcW w:w="1616"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177.829.401,28</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w:t>
            </w:r>
          </w:p>
        </w:tc>
      </w:tr>
      <w:tr w:rsidR="00196DEB" w:rsidRPr="00173806" w:rsidTr="00196DEB">
        <w:trPr>
          <w:trHeight w:val="300"/>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w:t>
            </w:r>
          </w:p>
        </w:tc>
      </w:tr>
      <w:tr w:rsidR="00196DEB" w:rsidRPr="00173806" w:rsidTr="00196DEB">
        <w:trPr>
          <w:trHeight w:val="300"/>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C) Titolo 1 - Entrate correnti di natura tributaria, contributiva e perequativa</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w:t>
            </w:r>
          </w:p>
        </w:tc>
        <w:tc>
          <w:tcPr>
            <w:tcW w:w="1616"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353.004.739,03</w:t>
            </w:r>
          </w:p>
        </w:tc>
        <w:tc>
          <w:tcPr>
            <w:tcW w:w="1739"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358.650.209,05</w:t>
            </w:r>
          </w:p>
        </w:tc>
        <w:tc>
          <w:tcPr>
            <w:tcW w:w="166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359.612.417,60</w:t>
            </w:r>
          </w:p>
        </w:tc>
      </w:tr>
      <w:tr w:rsidR="00196DEB" w:rsidRPr="00173806" w:rsidTr="00196DEB">
        <w:trPr>
          <w:trHeight w:val="285"/>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i/>
                <w:iCs/>
                <w:color w:val="000000"/>
                <w:sz w:val="20"/>
                <w:u w:color="000000"/>
                <w:bdr w:val="nil"/>
              </w:rPr>
            </w:pPr>
            <w:r w:rsidRPr="00196DEB">
              <w:rPr>
                <w:rFonts w:ascii="Arial" w:eastAsia="Arial Unicode MS" w:hAnsi="Arial" w:cs="Arial"/>
                <w:i/>
                <w:iCs/>
                <w:color w:val="000000"/>
                <w:sz w:val="20"/>
                <w:u w:color="000000"/>
                <w:bdr w:val="nil"/>
              </w:rPr>
              <w:t> </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i/>
                <w:iCs/>
                <w:color w:val="000000"/>
                <w:sz w:val="20"/>
                <w:u w:color="000000"/>
                <w:bdr w:val="nil"/>
              </w:rPr>
            </w:pPr>
            <w:r w:rsidRPr="00196DEB">
              <w:rPr>
                <w:rFonts w:ascii="Arial" w:eastAsia="Arial Unicode MS" w:hAnsi="Arial" w:cs="Arial"/>
                <w:i/>
                <w:iCs/>
                <w:color w:val="000000"/>
                <w:sz w:val="20"/>
                <w:u w:color="000000"/>
                <w:bdr w:val="nil"/>
              </w:rPr>
              <w:t>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i/>
                <w:iCs/>
                <w:color w:val="000000"/>
                <w:sz w:val="20"/>
                <w:u w:color="000000"/>
                <w:bdr w:val="nil"/>
              </w:rPr>
            </w:pPr>
            <w:r w:rsidRPr="00196DEB">
              <w:rPr>
                <w:rFonts w:ascii="Arial" w:eastAsia="Arial Unicode MS" w:hAnsi="Arial" w:cs="Arial"/>
                <w:i/>
                <w:iCs/>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i/>
                <w:iCs/>
                <w:color w:val="000000"/>
                <w:sz w:val="20"/>
                <w:u w:color="000000"/>
                <w:bdr w:val="nil"/>
              </w:rPr>
            </w:pPr>
            <w:r w:rsidRPr="00196DEB">
              <w:rPr>
                <w:rFonts w:ascii="Arial" w:eastAsia="Arial Unicode MS" w:hAnsi="Arial" w:cs="Arial"/>
                <w:i/>
                <w:iCs/>
                <w:color w:val="000000"/>
                <w:sz w:val="20"/>
                <w:u w:color="000000"/>
                <w:bdr w:val="nil"/>
              </w:rPr>
              <w:t> </w:t>
            </w:r>
          </w:p>
        </w:tc>
      </w:tr>
      <w:tr w:rsidR="00196DEB" w:rsidRPr="00173806" w:rsidTr="00196DEB">
        <w:trPr>
          <w:trHeight w:val="285"/>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r>
      <w:tr w:rsidR="00196DEB" w:rsidRPr="00173806" w:rsidTr="00196DEB">
        <w:trPr>
          <w:trHeight w:val="300"/>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D1) Titolo 2 -  Trasferimenti correnti</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w:t>
            </w:r>
          </w:p>
        </w:tc>
        <w:tc>
          <w:tcPr>
            <w:tcW w:w="1616"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81.267.970,72</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xml:space="preserve">              56.908.667,78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xml:space="preserve">              66.192.838,21 </w:t>
            </w:r>
          </w:p>
        </w:tc>
      </w:tr>
      <w:tr w:rsidR="00196DEB" w:rsidRPr="00173806" w:rsidTr="00196DEB">
        <w:trPr>
          <w:trHeight w:val="285"/>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r>
      <w:tr w:rsidR="00196DEB" w:rsidRPr="00173806" w:rsidTr="00196DEB">
        <w:trPr>
          <w:trHeight w:val="570"/>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D2) Contributo di cui all'art. 1, comma 20, legge di stabilità 2016 (solo 2016 per i comuni)</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xml:space="preserve">                1.949.036,98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r>
      <w:tr w:rsidR="00196DEB" w:rsidRPr="00173806" w:rsidTr="00196DEB">
        <w:trPr>
          <w:trHeight w:val="285"/>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r>
      <w:tr w:rsidR="00196DEB" w:rsidRPr="00173806" w:rsidTr="00196DEB">
        <w:trPr>
          <w:trHeight w:val="570"/>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D2) Contributo di cui all'art. 1, comma 683, legge di stabilità 2016 (solo 2016 per le regioni)</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0,00</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r>
      <w:tr w:rsidR="00196DEB" w:rsidRPr="00173806" w:rsidTr="00196DEB">
        <w:trPr>
          <w:trHeight w:val="285"/>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r>
      <w:tr w:rsidR="00196DEB" w:rsidRPr="00173806" w:rsidTr="00196DEB">
        <w:trPr>
          <w:trHeight w:val="600"/>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D) Titolo 2 - Trasferimenti correnti  validi ai fini dei saldi finanza pubblica (D=D1-D2-D3)</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xml:space="preserve">                      79.318.933,74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xml:space="preserve">                      56.908.667,78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xml:space="preserve">                      66.192.838,21 </w:t>
            </w:r>
          </w:p>
        </w:tc>
      </w:tr>
      <w:tr w:rsidR="00196DEB" w:rsidRPr="00173806" w:rsidTr="00196DEB">
        <w:trPr>
          <w:trHeight w:val="285"/>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r>
      <w:tr w:rsidR="00196DEB" w:rsidRPr="00173806" w:rsidTr="00196DEB">
        <w:trPr>
          <w:trHeight w:val="300"/>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w:t>
            </w:r>
          </w:p>
        </w:tc>
      </w:tr>
      <w:tr w:rsidR="00196DEB" w:rsidRPr="00173806" w:rsidTr="00196DEB">
        <w:trPr>
          <w:trHeight w:val="300"/>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E) Titolo 3 - Entrate extratributarie</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w:t>
            </w:r>
          </w:p>
        </w:tc>
        <w:tc>
          <w:tcPr>
            <w:tcW w:w="1616"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252.892.335,71</w:t>
            </w:r>
          </w:p>
        </w:tc>
        <w:tc>
          <w:tcPr>
            <w:tcW w:w="1739"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245.664.581,30</w:t>
            </w:r>
          </w:p>
        </w:tc>
        <w:tc>
          <w:tcPr>
            <w:tcW w:w="166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256.280.806,06</w:t>
            </w:r>
          </w:p>
        </w:tc>
      </w:tr>
      <w:tr w:rsidR="00196DEB" w:rsidRPr="00173806" w:rsidTr="00196DEB">
        <w:trPr>
          <w:trHeight w:val="300"/>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w:t>
            </w:r>
          </w:p>
        </w:tc>
      </w:tr>
      <w:tr w:rsidR="00196DEB" w:rsidRPr="00173806" w:rsidTr="00196DEB">
        <w:trPr>
          <w:trHeight w:val="300"/>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w:t>
            </w:r>
          </w:p>
        </w:tc>
      </w:tr>
      <w:tr w:rsidR="00196DEB" w:rsidRPr="00173806" w:rsidTr="00196DEB">
        <w:trPr>
          <w:trHeight w:val="300"/>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F) Titolo 4 - Entrate in c/capitale</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w:t>
            </w:r>
          </w:p>
        </w:tc>
        <w:tc>
          <w:tcPr>
            <w:tcW w:w="1616"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101.123.509,72</w:t>
            </w:r>
          </w:p>
        </w:tc>
        <w:tc>
          <w:tcPr>
            <w:tcW w:w="1739"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153.128.861,67</w:t>
            </w:r>
          </w:p>
        </w:tc>
        <w:tc>
          <w:tcPr>
            <w:tcW w:w="166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41.355.319,13</w:t>
            </w:r>
          </w:p>
        </w:tc>
      </w:tr>
      <w:tr w:rsidR="00196DEB" w:rsidRPr="00173806" w:rsidTr="00196DEB">
        <w:trPr>
          <w:trHeight w:val="285"/>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r>
      <w:tr w:rsidR="00196DEB" w:rsidRPr="00173806" w:rsidTr="00196DEB">
        <w:trPr>
          <w:trHeight w:val="300"/>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w:t>
            </w:r>
          </w:p>
        </w:tc>
      </w:tr>
      <w:tr w:rsidR="00196DEB" w:rsidRPr="00173806" w:rsidTr="00196DEB">
        <w:trPr>
          <w:trHeight w:val="300"/>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G) Titolo 5 - Entrate da riduzione di attività finanziarie</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33.611.089,60</w:t>
            </w:r>
          </w:p>
        </w:tc>
        <w:tc>
          <w:tcPr>
            <w:tcW w:w="1739"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34.415.490,48</w:t>
            </w:r>
          </w:p>
        </w:tc>
        <w:tc>
          <w:tcPr>
            <w:tcW w:w="166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36.182.177,04</w:t>
            </w:r>
          </w:p>
        </w:tc>
      </w:tr>
      <w:tr w:rsidR="00196DEB" w:rsidRPr="00173806" w:rsidTr="00196DEB">
        <w:trPr>
          <w:trHeight w:val="285"/>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r>
      <w:tr w:rsidR="00196DEB" w:rsidRPr="00173806" w:rsidTr="00196DEB">
        <w:trPr>
          <w:trHeight w:val="285"/>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r>
      <w:tr w:rsidR="00196DEB" w:rsidRPr="00173806" w:rsidTr="00196DEB">
        <w:trPr>
          <w:trHeight w:val="600"/>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H) ENTRATE FINALI VALIDE AI FINI DEI SALDI DI FINANZA PUBBLICA  (H=C+D+E+F+G)</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819.950.607,80</w:t>
            </w:r>
          </w:p>
        </w:tc>
        <w:tc>
          <w:tcPr>
            <w:tcW w:w="1739"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848.767.810,28</w:t>
            </w:r>
          </w:p>
        </w:tc>
        <w:tc>
          <w:tcPr>
            <w:tcW w:w="166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759.623.558,04</w:t>
            </w:r>
          </w:p>
        </w:tc>
      </w:tr>
      <w:tr w:rsidR="00196DEB" w:rsidRPr="00173806" w:rsidTr="00196DEB">
        <w:trPr>
          <w:trHeight w:val="285"/>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r>
      <w:tr w:rsidR="00196DEB" w:rsidRPr="00173806" w:rsidTr="00196DEB">
        <w:trPr>
          <w:trHeight w:val="285"/>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r>
      <w:tr w:rsidR="00196DEB" w:rsidRPr="00173806" w:rsidTr="00196DEB">
        <w:trPr>
          <w:trHeight w:val="300"/>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I1) Titolo 1 - Spese correnti al netto del fondo pluriennale vincolato</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676.659.884,85</w:t>
            </w:r>
          </w:p>
        </w:tc>
        <w:tc>
          <w:tcPr>
            <w:tcW w:w="1739"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629.956.381,64</w:t>
            </w:r>
          </w:p>
        </w:tc>
        <w:tc>
          <w:tcPr>
            <w:tcW w:w="166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640.207.190,74</w:t>
            </w:r>
          </w:p>
        </w:tc>
      </w:tr>
      <w:tr w:rsidR="00196DEB" w:rsidRPr="00173806" w:rsidTr="00196DEB">
        <w:trPr>
          <w:trHeight w:val="285"/>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r>
      <w:tr w:rsidR="00196DEB" w:rsidRPr="00173806" w:rsidTr="00196DEB">
        <w:trPr>
          <w:trHeight w:val="300"/>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I2)  Fondo pluriennale vincolato di parte corrente (solo per il 2016)</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6.455.268,07</w:t>
            </w:r>
          </w:p>
        </w:tc>
        <w:tc>
          <w:tcPr>
            <w:tcW w:w="1739"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i/>
                <w:iCs/>
                <w:color w:val="000000"/>
                <w:sz w:val="20"/>
                <w:u w:color="000000"/>
                <w:bdr w:val="nil"/>
              </w:rPr>
            </w:pPr>
            <w:r w:rsidRPr="00196DEB">
              <w:rPr>
                <w:rFonts w:ascii="Arial" w:eastAsia="Arial Unicode MS" w:hAnsi="Arial" w:cs="Arial"/>
                <w:i/>
                <w:iCs/>
                <w:color w:val="000000"/>
                <w:sz w:val="20"/>
                <w:u w:color="000000"/>
                <w:bdr w:val="nil"/>
              </w:rPr>
              <w:t> </w:t>
            </w:r>
          </w:p>
        </w:tc>
      </w:tr>
      <w:tr w:rsidR="00196DEB" w:rsidRPr="00173806" w:rsidTr="00196DEB">
        <w:trPr>
          <w:trHeight w:val="285"/>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i/>
                <w:iCs/>
                <w:color w:val="000000"/>
                <w:sz w:val="20"/>
                <w:u w:color="000000"/>
                <w:bdr w:val="nil"/>
              </w:rPr>
            </w:pPr>
            <w:r w:rsidRPr="00196DEB">
              <w:rPr>
                <w:rFonts w:ascii="Arial" w:eastAsia="Arial Unicode MS" w:hAnsi="Arial" w:cs="Arial"/>
                <w:i/>
                <w:iCs/>
                <w:color w:val="000000"/>
                <w:sz w:val="20"/>
                <w:u w:color="000000"/>
                <w:bdr w:val="nil"/>
              </w:rPr>
              <w:t> </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i/>
                <w:iCs/>
                <w:color w:val="000000"/>
                <w:sz w:val="20"/>
                <w:u w:color="000000"/>
                <w:bdr w:val="nil"/>
              </w:rPr>
            </w:pPr>
            <w:r w:rsidRPr="00196DEB">
              <w:rPr>
                <w:rFonts w:ascii="Arial" w:eastAsia="Arial Unicode MS" w:hAnsi="Arial" w:cs="Arial"/>
                <w:i/>
                <w:iCs/>
                <w:color w:val="000000"/>
                <w:sz w:val="20"/>
                <w:u w:color="000000"/>
                <w:bdr w:val="nil"/>
              </w:rPr>
              <w:t> </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i/>
                <w:iCs/>
                <w:color w:val="000000"/>
                <w:sz w:val="20"/>
                <w:u w:color="000000"/>
                <w:bdr w:val="nil"/>
              </w:rPr>
            </w:pPr>
            <w:r w:rsidRPr="00196DEB">
              <w:rPr>
                <w:rFonts w:ascii="Arial" w:eastAsia="Arial Unicode MS" w:hAnsi="Arial" w:cs="Arial"/>
                <w:i/>
                <w:iCs/>
                <w:color w:val="000000"/>
                <w:sz w:val="20"/>
                <w:u w:color="000000"/>
                <w:bdr w:val="nil"/>
              </w:rPr>
              <w:t>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i/>
                <w:iCs/>
                <w:color w:val="000000"/>
                <w:sz w:val="20"/>
                <w:u w:color="000000"/>
                <w:bdr w:val="nil"/>
              </w:rPr>
            </w:pPr>
            <w:r w:rsidRPr="00196DEB">
              <w:rPr>
                <w:rFonts w:ascii="Arial" w:eastAsia="Arial Unicode MS" w:hAnsi="Arial" w:cs="Arial"/>
                <w:i/>
                <w:iCs/>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i/>
                <w:iCs/>
                <w:color w:val="000000"/>
                <w:sz w:val="20"/>
                <w:u w:color="000000"/>
                <w:bdr w:val="nil"/>
              </w:rPr>
            </w:pPr>
            <w:r w:rsidRPr="00196DEB">
              <w:rPr>
                <w:rFonts w:ascii="Arial" w:eastAsia="Arial Unicode MS" w:hAnsi="Arial" w:cs="Arial"/>
                <w:i/>
                <w:iCs/>
                <w:color w:val="000000"/>
                <w:sz w:val="20"/>
                <w:u w:color="000000"/>
                <w:bdr w:val="nil"/>
              </w:rPr>
              <w:t> </w:t>
            </w:r>
          </w:p>
        </w:tc>
      </w:tr>
      <w:tr w:rsidR="00196DEB" w:rsidRPr="00173806" w:rsidTr="00196DEB">
        <w:trPr>
          <w:trHeight w:val="330"/>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xml:space="preserve">I3) Fondo crediti di dubbia esigibilità di parte corrente </w:t>
            </w:r>
            <w:r w:rsidRPr="00196DEB">
              <w:rPr>
                <w:rFonts w:ascii="Arial" w:eastAsia="Arial Unicode MS" w:hAnsi="Arial" w:cs="Arial"/>
                <w:color w:val="000000"/>
                <w:sz w:val="20"/>
                <w:u w:color="000000"/>
                <w:bdr w:val="nil"/>
                <w:vertAlign w:val="superscript"/>
              </w:rPr>
              <w:t>(1)</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w:t>
            </w:r>
          </w:p>
        </w:tc>
        <w:tc>
          <w:tcPr>
            <w:tcW w:w="1616"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31.587.334,77</w:t>
            </w:r>
          </w:p>
        </w:tc>
        <w:tc>
          <w:tcPr>
            <w:tcW w:w="1739"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44.864.856,33</w:t>
            </w:r>
          </w:p>
        </w:tc>
        <w:tc>
          <w:tcPr>
            <w:tcW w:w="166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51.756.040,40</w:t>
            </w:r>
          </w:p>
        </w:tc>
      </w:tr>
      <w:tr w:rsidR="00196DEB" w:rsidRPr="00173806" w:rsidTr="00196DEB">
        <w:trPr>
          <w:trHeight w:val="285"/>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i/>
                <w:iCs/>
                <w:color w:val="000000"/>
                <w:sz w:val="20"/>
                <w:u w:color="000000"/>
                <w:bdr w:val="nil"/>
              </w:rPr>
            </w:pPr>
            <w:r w:rsidRPr="00196DEB">
              <w:rPr>
                <w:rFonts w:ascii="Arial" w:eastAsia="Arial Unicode MS" w:hAnsi="Arial" w:cs="Arial"/>
                <w:i/>
                <w:iCs/>
                <w:color w:val="000000"/>
                <w:sz w:val="20"/>
                <w:u w:color="000000"/>
                <w:bdr w:val="nil"/>
              </w:rPr>
              <w:t> </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i/>
                <w:iCs/>
                <w:color w:val="000000"/>
                <w:sz w:val="20"/>
                <w:u w:color="000000"/>
                <w:bdr w:val="nil"/>
              </w:rPr>
            </w:pPr>
            <w:r w:rsidRPr="00196DEB">
              <w:rPr>
                <w:rFonts w:ascii="Arial" w:eastAsia="Arial Unicode MS" w:hAnsi="Arial" w:cs="Arial"/>
                <w:i/>
                <w:iCs/>
                <w:color w:val="000000"/>
                <w:sz w:val="20"/>
                <w:u w:color="000000"/>
                <w:bdr w:val="nil"/>
              </w:rPr>
              <w:t> </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i/>
                <w:iCs/>
                <w:color w:val="000000"/>
                <w:sz w:val="20"/>
                <w:u w:color="000000"/>
                <w:bdr w:val="nil"/>
              </w:rPr>
            </w:pPr>
            <w:r w:rsidRPr="00196DEB">
              <w:rPr>
                <w:rFonts w:ascii="Arial" w:eastAsia="Arial Unicode MS" w:hAnsi="Arial" w:cs="Arial"/>
                <w:i/>
                <w:iCs/>
                <w:color w:val="000000"/>
                <w:sz w:val="20"/>
                <w:u w:color="000000"/>
                <w:bdr w:val="nil"/>
              </w:rPr>
              <w:t>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i/>
                <w:iCs/>
                <w:color w:val="000000"/>
                <w:sz w:val="20"/>
                <w:u w:color="000000"/>
                <w:bdr w:val="nil"/>
              </w:rPr>
            </w:pPr>
            <w:r w:rsidRPr="00196DEB">
              <w:rPr>
                <w:rFonts w:ascii="Arial" w:eastAsia="Arial Unicode MS" w:hAnsi="Arial" w:cs="Arial"/>
                <w:i/>
                <w:iCs/>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i/>
                <w:iCs/>
                <w:color w:val="000000"/>
                <w:sz w:val="20"/>
                <w:u w:color="000000"/>
                <w:bdr w:val="nil"/>
              </w:rPr>
            </w:pPr>
            <w:r w:rsidRPr="00196DEB">
              <w:rPr>
                <w:rFonts w:ascii="Arial" w:eastAsia="Arial Unicode MS" w:hAnsi="Arial" w:cs="Arial"/>
                <w:i/>
                <w:iCs/>
                <w:color w:val="000000"/>
                <w:sz w:val="20"/>
                <w:u w:color="000000"/>
                <w:bdr w:val="nil"/>
              </w:rPr>
              <w:t> </w:t>
            </w:r>
          </w:p>
        </w:tc>
      </w:tr>
      <w:tr w:rsidR="00196DEB" w:rsidRPr="00173806" w:rsidTr="00196DEB">
        <w:trPr>
          <w:trHeight w:val="300"/>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I4) Fondo contenzioso (destinato a confluire nel risultato di amministrazione)</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1.580.695,83</w:t>
            </w:r>
          </w:p>
        </w:tc>
        <w:tc>
          <w:tcPr>
            <w:tcW w:w="1739"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1.458.351,93</w:t>
            </w:r>
          </w:p>
        </w:tc>
        <w:tc>
          <w:tcPr>
            <w:tcW w:w="166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190.000,00</w:t>
            </w:r>
          </w:p>
        </w:tc>
      </w:tr>
      <w:tr w:rsidR="00196DEB" w:rsidRPr="00173806" w:rsidTr="00196DEB">
        <w:trPr>
          <w:trHeight w:val="285"/>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i/>
                <w:iCs/>
                <w:color w:val="000000"/>
                <w:sz w:val="20"/>
                <w:u w:color="000000"/>
                <w:bdr w:val="nil"/>
              </w:rPr>
            </w:pPr>
            <w:r w:rsidRPr="00196DEB">
              <w:rPr>
                <w:rFonts w:ascii="Arial" w:eastAsia="Arial Unicode MS" w:hAnsi="Arial" w:cs="Arial"/>
                <w:i/>
                <w:iCs/>
                <w:color w:val="000000"/>
                <w:sz w:val="20"/>
                <w:u w:color="000000"/>
                <w:bdr w:val="nil"/>
              </w:rPr>
              <w:t> </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i/>
                <w:iCs/>
                <w:color w:val="000000"/>
                <w:sz w:val="20"/>
                <w:u w:color="000000"/>
                <w:bdr w:val="nil"/>
              </w:rPr>
            </w:pPr>
            <w:r w:rsidRPr="00196DEB">
              <w:rPr>
                <w:rFonts w:ascii="Arial" w:eastAsia="Arial Unicode MS" w:hAnsi="Arial" w:cs="Arial"/>
                <w:i/>
                <w:iCs/>
                <w:color w:val="000000"/>
                <w:sz w:val="20"/>
                <w:u w:color="000000"/>
                <w:bdr w:val="nil"/>
              </w:rPr>
              <w:t>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i/>
                <w:iCs/>
                <w:color w:val="000000"/>
                <w:sz w:val="20"/>
                <w:u w:color="000000"/>
                <w:bdr w:val="nil"/>
              </w:rPr>
            </w:pPr>
            <w:r w:rsidRPr="00196DEB">
              <w:rPr>
                <w:rFonts w:ascii="Arial" w:eastAsia="Arial Unicode MS" w:hAnsi="Arial" w:cs="Arial"/>
                <w:i/>
                <w:iCs/>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i/>
                <w:iCs/>
                <w:color w:val="000000"/>
                <w:sz w:val="20"/>
                <w:u w:color="000000"/>
                <w:bdr w:val="nil"/>
              </w:rPr>
            </w:pPr>
            <w:r w:rsidRPr="00196DEB">
              <w:rPr>
                <w:rFonts w:ascii="Arial" w:eastAsia="Arial Unicode MS" w:hAnsi="Arial" w:cs="Arial"/>
                <w:i/>
                <w:iCs/>
                <w:color w:val="000000"/>
                <w:sz w:val="20"/>
                <w:u w:color="000000"/>
                <w:bdr w:val="nil"/>
              </w:rPr>
              <w:t> </w:t>
            </w:r>
          </w:p>
        </w:tc>
      </w:tr>
      <w:tr w:rsidR="00196DEB" w:rsidRPr="00173806" w:rsidTr="00196DEB">
        <w:trPr>
          <w:trHeight w:val="330"/>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I5) Altri accantonamenti (destinati a confluire nel risultato di amministrazione)</w:t>
            </w:r>
            <w:r w:rsidRPr="00196DEB">
              <w:rPr>
                <w:rFonts w:ascii="Arial" w:eastAsia="Arial Unicode MS" w:hAnsi="Arial" w:cs="Arial"/>
                <w:color w:val="000000"/>
                <w:sz w:val="20"/>
                <w:u w:color="000000"/>
                <w:bdr w:val="nil"/>
                <w:vertAlign w:val="superscript"/>
              </w:rPr>
              <w:t xml:space="preserve"> (2)</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w:t>
            </w:r>
          </w:p>
        </w:tc>
        <w:tc>
          <w:tcPr>
            <w:tcW w:w="1616"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223.711,80</w:t>
            </w:r>
          </w:p>
        </w:tc>
        <w:tc>
          <w:tcPr>
            <w:tcW w:w="1739"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408.719,97</w:t>
            </w:r>
          </w:p>
        </w:tc>
        <w:tc>
          <w:tcPr>
            <w:tcW w:w="166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593.728,14</w:t>
            </w:r>
          </w:p>
        </w:tc>
      </w:tr>
      <w:tr w:rsidR="00196DEB" w:rsidRPr="00173806" w:rsidTr="00196DEB">
        <w:trPr>
          <w:trHeight w:val="285"/>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r>
      <w:tr w:rsidR="00196DEB" w:rsidRPr="00173806" w:rsidTr="00196DEB">
        <w:trPr>
          <w:trHeight w:val="570"/>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I6) Spese correnti per interventi di bonifica ambientale  di cui all'art. 1, comma 716, Legge di stabilità 2016 (solo 2016 per gli enti locali)</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0,00</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i/>
                <w:iCs/>
                <w:color w:val="000000"/>
                <w:sz w:val="20"/>
                <w:u w:color="000000"/>
                <w:bdr w:val="nil"/>
              </w:rPr>
            </w:pPr>
            <w:r w:rsidRPr="00196DEB">
              <w:rPr>
                <w:rFonts w:ascii="Arial" w:eastAsia="Arial Unicode MS" w:hAnsi="Arial" w:cs="Arial"/>
                <w:i/>
                <w:iCs/>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i/>
                <w:iCs/>
                <w:color w:val="000000"/>
                <w:sz w:val="20"/>
                <w:u w:color="000000"/>
                <w:bdr w:val="nil"/>
              </w:rPr>
            </w:pPr>
            <w:r w:rsidRPr="00196DEB">
              <w:rPr>
                <w:rFonts w:ascii="Arial" w:eastAsia="Arial Unicode MS" w:hAnsi="Arial" w:cs="Arial"/>
                <w:i/>
                <w:iCs/>
                <w:color w:val="000000"/>
                <w:sz w:val="20"/>
                <w:u w:color="000000"/>
                <w:bdr w:val="nil"/>
              </w:rPr>
              <w:t> </w:t>
            </w:r>
          </w:p>
        </w:tc>
      </w:tr>
      <w:tr w:rsidR="00196DEB" w:rsidRPr="00173806" w:rsidTr="00196DEB">
        <w:trPr>
          <w:trHeight w:val="285"/>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r>
      <w:tr w:rsidR="00196DEB" w:rsidRPr="00173806" w:rsidTr="00196DEB">
        <w:trPr>
          <w:trHeight w:val="855"/>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I7) Spese correnti per sisma maggio 2012,  finanziate secondo le modalità  di cui all'art. 1, comma 441, Legge di stabilità 2016 (solo 2016 per gli enti locali dell'Emilia Romagna, Lombardia e Veneto)</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0,00</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i/>
                <w:iCs/>
                <w:color w:val="000000"/>
                <w:sz w:val="20"/>
                <w:u w:color="000000"/>
                <w:bdr w:val="nil"/>
              </w:rPr>
            </w:pPr>
            <w:r w:rsidRPr="00196DEB">
              <w:rPr>
                <w:rFonts w:ascii="Arial" w:eastAsia="Arial Unicode MS" w:hAnsi="Arial" w:cs="Arial"/>
                <w:i/>
                <w:iCs/>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i/>
                <w:iCs/>
                <w:color w:val="000000"/>
                <w:sz w:val="20"/>
                <w:u w:color="000000"/>
                <w:bdr w:val="nil"/>
              </w:rPr>
            </w:pPr>
            <w:r w:rsidRPr="00196DEB">
              <w:rPr>
                <w:rFonts w:ascii="Arial" w:eastAsia="Arial Unicode MS" w:hAnsi="Arial" w:cs="Arial"/>
                <w:i/>
                <w:iCs/>
                <w:color w:val="000000"/>
                <w:sz w:val="20"/>
                <w:u w:color="000000"/>
                <w:bdr w:val="nil"/>
              </w:rPr>
              <w:t> </w:t>
            </w:r>
          </w:p>
        </w:tc>
      </w:tr>
      <w:tr w:rsidR="00196DEB" w:rsidRPr="00173806" w:rsidTr="00196DEB">
        <w:trPr>
          <w:trHeight w:val="285"/>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r>
      <w:tr w:rsidR="00196DEB" w:rsidRPr="00173806" w:rsidTr="00196DEB">
        <w:trPr>
          <w:trHeight w:val="600"/>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I) Titolo 1 - Spese correnti valide ai fini dei saldi di finanza pubblica (I=I1+I2-I3-I4-I5-I6-I7)</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xml:space="preserve">            649.723.410,52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xml:space="preserve">            583.224.453,41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xml:space="preserve">            587.667.422,20 </w:t>
            </w:r>
          </w:p>
        </w:tc>
      </w:tr>
      <w:tr w:rsidR="00196DEB" w:rsidRPr="00173806" w:rsidTr="00196DEB">
        <w:trPr>
          <w:trHeight w:val="300"/>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w:t>
            </w:r>
          </w:p>
        </w:tc>
      </w:tr>
      <w:tr w:rsidR="00196DEB" w:rsidRPr="00173806" w:rsidTr="00196DEB">
        <w:trPr>
          <w:trHeight w:val="285"/>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r>
      <w:tr w:rsidR="00196DEB" w:rsidRPr="00173806" w:rsidTr="00196DEB">
        <w:trPr>
          <w:trHeight w:val="300"/>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L1) Titolo 2 - Spese in c/ capitale al netto del fondo pluriennale vincolato</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300.241.561,59</w:t>
            </w:r>
          </w:p>
        </w:tc>
        <w:tc>
          <w:tcPr>
            <w:tcW w:w="1739"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209.201.034,95</w:t>
            </w:r>
          </w:p>
        </w:tc>
        <w:tc>
          <w:tcPr>
            <w:tcW w:w="166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31.320.791,72</w:t>
            </w:r>
          </w:p>
        </w:tc>
      </w:tr>
      <w:tr w:rsidR="00196DEB" w:rsidRPr="00173806" w:rsidTr="00196DEB">
        <w:trPr>
          <w:trHeight w:val="300"/>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r>
      <w:tr w:rsidR="00196DEB" w:rsidRPr="00173806" w:rsidTr="00196DEB">
        <w:trPr>
          <w:trHeight w:val="570"/>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L2) Fondo pluriennale vincolato in c/capitale al netto delle quote finanziate da debito (solo per il 2016)</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w:t>
            </w:r>
          </w:p>
        </w:tc>
        <w:tc>
          <w:tcPr>
            <w:tcW w:w="1616"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16.173.938,05</w:t>
            </w:r>
          </w:p>
        </w:tc>
        <w:tc>
          <w:tcPr>
            <w:tcW w:w="1739"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i/>
                <w:iCs/>
                <w:color w:val="000000"/>
                <w:sz w:val="20"/>
                <w:u w:color="000000"/>
                <w:bdr w:val="nil"/>
              </w:rPr>
            </w:pPr>
            <w:r w:rsidRPr="00196DEB">
              <w:rPr>
                <w:rFonts w:ascii="Arial" w:eastAsia="Arial Unicode MS" w:hAnsi="Arial" w:cs="Arial"/>
                <w:i/>
                <w:iCs/>
                <w:color w:val="000000"/>
                <w:sz w:val="20"/>
                <w:u w:color="000000"/>
                <w:bdr w:val="nil"/>
              </w:rPr>
              <w:t> </w:t>
            </w:r>
          </w:p>
        </w:tc>
      </w:tr>
      <w:tr w:rsidR="00196DEB" w:rsidRPr="00173806" w:rsidTr="00196DEB">
        <w:trPr>
          <w:trHeight w:val="285"/>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i/>
                <w:iCs/>
                <w:color w:val="000000"/>
                <w:sz w:val="20"/>
                <w:u w:color="000000"/>
                <w:bdr w:val="nil"/>
              </w:rPr>
            </w:pPr>
            <w:r w:rsidRPr="00196DEB">
              <w:rPr>
                <w:rFonts w:ascii="Arial" w:eastAsia="Arial Unicode MS" w:hAnsi="Arial" w:cs="Arial"/>
                <w:i/>
                <w:iCs/>
                <w:color w:val="000000"/>
                <w:sz w:val="20"/>
                <w:u w:color="000000"/>
                <w:bdr w:val="nil"/>
              </w:rPr>
              <w:t> </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i/>
                <w:iCs/>
                <w:color w:val="000000"/>
                <w:sz w:val="20"/>
                <w:u w:color="000000"/>
                <w:bdr w:val="nil"/>
              </w:rPr>
            </w:pPr>
            <w:r w:rsidRPr="00196DEB">
              <w:rPr>
                <w:rFonts w:ascii="Arial" w:eastAsia="Arial Unicode MS" w:hAnsi="Arial" w:cs="Arial"/>
                <w:i/>
                <w:iCs/>
                <w:color w:val="000000"/>
                <w:sz w:val="20"/>
                <w:u w:color="000000"/>
                <w:bdr w:val="nil"/>
              </w:rPr>
              <w:t> </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i/>
                <w:iCs/>
                <w:color w:val="000000"/>
                <w:sz w:val="20"/>
                <w:u w:color="000000"/>
                <w:bdr w:val="nil"/>
              </w:rPr>
            </w:pPr>
            <w:r w:rsidRPr="00196DEB">
              <w:rPr>
                <w:rFonts w:ascii="Arial" w:eastAsia="Arial Unicode MS" w:hAnsi="Arial" w:cs="Arial"/>
                <w:i/>
                <w:iCs/>
                <w:color w:val="000000"/>
                <w:sz w:val="20"/>
                <w:u w:color="000000"/>
                <w:bdr w:val="nil"/>
              </w:rPr>
              <w:t>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i/>
                <w:iCs/>
                <w:color w:val="000000"/>
                <w:sz w:val="20"/>
                <w:u w:color="000000"/>
                <w:bdr w:val="nil"/>
              </w:rPr>
            </w:pPr>
            <w:r w:rsidRPr="00196DEB">
              <w:rPr>
                <w:rFonts w:ascii="Arial" w:eastAsia="Arial Unicode MS" w:hAnsi="Arial" w:cs="Arial"/>
                <w:i/>
                <w:iCs/>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i/>
                <w:iCs/>
                <w:color w:val="000000"/>
                <w:sz w:val="20"/>
                <w:u w:color="000000"/>
                <w:bdr w:val="nil"/>
              </w:rPr>
            </w:pPr>
            <w:r w:rsidRPr="00196DEB">
              <w:rPr>
                <w:rFonts w:ascii="Arial" w:eastAsia="Arial Unicode MS" w:hAnsi="Arial" w:cs="Arial"/>
                <w:i/>
                <w:iCs/>
                <w:color w:val="000000"/>
                <w:sz w:val="20"/>
                <w:u w:color="000000"/>
                <w:bdr w:val="nil"/>
              </w:rPr>
              <w:t> </w:t>
            </w:r>
          </w:p>
        </w:tc>
      </w:tr>
      <w:tr w:rsidR="00196DEB" w:rsidRPr="00173806" w:rsidTr="00196DEB">
        <w:trPr>
          <w:trHeight w:val="330"/>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xml:space="preserve">L3) Fondo crediti di dubbia esigibilità in c/capitale </w:t>
            </w:r>
            <w:r w:rsidRPr="00196DEB">
              <w:rPr>
                <w:rFonts w:ascii="Arial" w:eastAsia="Arial Unicode MS" w:hAnsi="Arial" w:cs="Arial"/>
                <w:color w:val="000000"/>
                <w:sz w:val="20"/>
                <w:u w:color="000000"/>
                <w:bdr w:val="nil"/>
                <w:vertAlign w:val="superscript"/>
              </w:rPr>
              <w:t>(1)</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0,00</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0,00</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0,00</w:t>
            </w:r>
          </w:p>
        </w:tc>
      </w:tr>
      <w:tr w:rsidR="00196DEB" w:rsidRPr="00173806" w:rsidTr="00196DEB">
        <w:trPr>
          <w:trHeight w:val="285"/>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i/>
                <w:iCs/>
                <w:color w:val="000000"/>
                <w:sz w:val="20"/>
                <w:u w:color="000000"/>
                <w:bdr w:val="nil"/>
              </w:rPr>
            </w:pPr>
            <w:r w:rsidRPr="00196DEB">
              <w:rPr>
                <w:rFonts w:ascii="Arial" w:eastAsia="Arial Unicode MS" w:hAnsi="Arial" w:cs="Arial"/>
                <w:i/>
                <w:iCs/>
                <w:color w:val="000000"/>
                <w:sz w:val="20"/>
                <w:u w:color="000000"/>
                <w:bdr w:val="nil"/>
              </w:rPr>
              <w:t> </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i/>
                <w:iCs/>
                <w:color w:val="000000"/>
                <w:sz w:val="20"/>
                <w:u w:color="000000"/>
                <w:bdr w:val="nil"/>
              </w:rPr>
            </w:pPr>
            <w:r w:rsidRPr="00196DEB">
              <w:rPr>
                <w:rFonts w:ascii="Arial" w:eastAsia="Arial Unicode MS" w:hAnsi="Arial" w:cs="Arial"/>
                <w:i/>
                <w:iCs/>
                <w:color w:val="000000"/>
                <w:sz w:val="20"/>
                <w:u w:color="000000"/>
                <w:bdr w:val="nil"/>
              </w:rPr>
              <w:t>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i/>
                <w:iCs/>
                <w:color w:val="000000"/>
                <w:sz w:val="20"/>
                <w:u w:color="000000"/>
                <w:bdr w:val="nil"/>
              </w:rPr>
            </w:pPr>
            <w:r w:rsidRPr="00196DEB">
              <w:rPr>
                <w:rFonts w:ascii="Arial" w:eastAsia="Arial Unicode MS" w:hAnsi="Arial" w:cs="Arial"/>
                <w:i/>
                <w:iCs/>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i/>
                <w:iCs/>
                <w:color w:val="000000"/>
                <w:sz w:val="20"/>
                <w:u w:color="000000"/>
                <w:bdr w:val="nil"/>
              </w:rPr>
            </w:pPr>
            <w:r w:rsidRPr="00196DEB">
              <w:rPr>
                <w:rFonts w:ascii="Arial" w:eastAsia="Arial Unicode MS" w:hAnsi="Arial" w:cs="Arial"/>
                <w:i/>
                <w:iCs/>
                <w:color w:val="000000"/>
                <w:sz w:val="20"/>
                <w:u w:color="000000"/>
                <w:bdr w:val="nil"/>
              </w:rPr>
              <w:t> </w:t>
            </w:r>
          </w:p>
        </w:tc>
      </w:tr>
      <w:tr w:rsidR="00196DEB" w:rsidRPr="00173806" w:rsidTr="00196DEB">
        <w:trPr>
          <w:trHeight w:val="330"/>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L4) Altri accantonamenti (destinati a confluire nel risultato di amministrazione)</w:t>
            </w:r>
            <w:r w:rsidRPr="00196DEB">
              <w:rPr>
                <w:rFonts w:ascii="Arial" w:eastAsia="Arial Unicode MS" w:hAnsi="Arial" w:cs="Arial"/>
                <w:color w:val="000000"/>
                <w:sz w:val="20"/>
                <w:u w:color="000000"/>
                <w:bdr w:val="nil"/>
                <w:vertAlign w:val="superscript"/>
              </w:rPr>
              <w:t xml:space="preserve"> (2)</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xml:space="preserve">                1.013.105,27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xml:space="preserve">                   880.293,25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xml:space="preserve">                   826.170,00 </w:t>
            </w:r>
          </w:p>
        </w:tc>
      </w:tr>
      <w:tr w:rsidR="00196DEB" w:rsidRPr="00173806" w:rsidTr="00196DEB">
        <w:trPr>
          <w:trHeight w:val="285"/>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i/>
                <w:iCs/>
                <w:color w:val="000000"/>
                <w:sz w:val="20"/>
                <w:u w:color="000000"/>
                <w:bdr w:val="nil"/>
              </w:rPr>
            </w:pPr>
            <w:r w:rsidRPr="00196DEB">
              <w:rPr>
                <w:rFonts w:ascii="Arial" w:eastAsia="Arial Unicode MS" w:hAnsi="Arial" w:cs="Arial"/>
                <w:i/>
                <w:iCs/>
                <w:color w:val="000000"/>
                <w:sz w:val="20"/>
                <w:u w:color="000000"/>
                <w:bdr w:val="nil"/>
              </w:rPr>
              <w:t> </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i/>
                <w:iCs/>
                <w:color w:val="000000"/>
                <w:sz w:val="20"/>
                <w:u w:color="000000"/>
                <w:bdr w:val="nil"/>
              </w:rPr>
            </w:pPr>
            <w:r w:rsidRPr="00196DEB">
              <w:rPr>
                <w:rFonts w:ascii="Arial" w:eastAsia="Arial Unicode MS" w:hAnsi="Arial" w:cs="Arial"/>
                <w:i/>
                <w:iCs/>
                <w:color w:val="000000"/>
                <w:sz w:val="20"/>
                <w:u w:color="000000"/>
                <w:bdr w:val="nil"/>
              </w:rPr>
              <w:t>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i/>
                <w:iCs/>
                <w:color w:val="000000"/>
                <w:sz w:val="20"/>
                <w:u w:color="000000"/>
                <w:bdr w:val="nil"/>
              </w:rPr>
            </w:pPr>
            <w:r w:rsidRPr="00196DEB">
              <w:rPr>
                <w:rFonts w:ascii="Arial" w:eastAsia="Arial Unicode MS" w:hAnsi="Arial" w:cs="Arial"/>
                <w:i/>
                <w:iCs/>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i/>
                <w:iCs/>
                <w:color w:val="000000"/>
                <w:sz w:val="20"/>
                <w:u w:color="000000"/>
                <w:bdr w:val="nil"/>
              </w:rPr>
            </w:pPr>
            <w:r w:rsidRPr="00196DEB">
              <w:rPr>
                <w:rFonts w:ascii="Arial" w:eastAsia="Arial Unicode MS" w:hAnsi="Arial" w:cs="Arial"/>
                <w:i/>
                <w:iCs/>
                <w:color w:val="000000"/>
                <w:sz w:val="20"/>
                <w:u w:color="000000"/>
                <w:bdr w:val="nil"/>
              </w:rPr>
              <w:t> </w:t>
            </w:r>
          </w:p>
        </w:tc>
      </w:tr>
      <w:tr w:rsidR="00196DEB" w:rsidRPr="00173806" w:rsidTr="00196DEB">
        <w:trPr>
          <w:trHeight w:val="570"/>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L5) Spese per edilizia scolastica di cui all'art. 1, comma 713, Legge di stabilità 2016 (solo 2016 per gli enti locali)</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xml:space="preserve">                2.471.577,96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i/>
                <w:iCs/>
                <w:color w:val="000000"/>
                <w:sz w:val="20"/>
                <w:u w:color="000000"/>
                <w:bdr w:val="nil"/>
              </w:rPr>
            </w:pPr>
            <w:r w:rsidRPr="00196DEB">
              <w:rPr>
                <w:rFonts w:ascii="Arial" w:eastAsia="Arial Unicode MS" w:hAnsi="Arial" w:cs="Arial"/>
                <w:i/>
                <w:iCs/>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i/>
                <w:iCs/>
                <w:color w:val="000000"/>
                <w:sz w:val="20"/>
                <w:u w:color="000000"/>
                <w:bdr w:val="nil"/>
              </w:rPr>
            </w:pPr>
            <w:r w:rsidRPr="00196DEB">
              <w:rPr>
                <w:rFonts w:ascii="Arial" w:eastAsia="Arial Unicode MS" w:hAnsi="Arial" w:cs="Arial"/>
                <w:i/>
                <w:iCs/>
                <w:color w:val="000000"/>
                <w:sz w:val="20"/>
                <w:u w:color="000000"/>
                <w:bdr w:val="nil"/>
              </w:rPr>
              <w:t> </w:t>
            </w:r>
          </w:p>
        </w:tc>
      </w:tr>
      <w:tr w:rsidR="00196DEB" w:rsidRPr="00173806" w:rsidTr="00196DEB">
        <w:trPr>
          <w:trHeight w:val="285"/>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r>
      <w:tr w:rsidR="00196DEB" w:rsidRPr="00173806" w:rsidTr="00196DEB">
        <w:trPr>
          <w:trHeight w:val="570"/>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L6) Spese in c/capitale per interventi di bonifica ambientale  di cui all'art. 1, comma 716, Legge di stabilità 2016 (solo 2016 per gli enti locali)</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0,00</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i/>
                <w:iCs/>
                <w:color w:val="000000"/>
                <w:sz w:val="20"/>
                <w:u w:color="000000"/>
                <w:bdr w:val="nil"/>
              </w:rPr>
            </w:pPr>
            <w:r w:rsidRPr="00196DEB">
              <w:rPr>
                <w:rFonts w:ascii="Arial" w:eastAsia="Arial Unicode MS" w:hAnsi="Arial" w:cs="Arial"/>
                <w:i/>
                <w:iCs/>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i/>
                <w:iCs/>
                <w:color w:val="000000"/>
                <w:sz w:val="20"/>
                <w:u w:color="000000"/>
                <w:bdr w:val="nil"/>
              </w:rPr>
            </w:pPr>
            <w:r w:rsidRPr="00196DEB">
              <w:rPr>
                <w:rFonts w:ascii="Arial" w:eastAsia="Arial Unicode MS" w:hAnsi="Arial" w:cs="Arial"/>
                <w:i/>
                <w:iCs/>
                <w:color w:val="000000"/>
                <w:sz w:val="20"/>
                <w:u w:color="000000"/>
                <w:bdr w:val="nil"/>
              </w:rPr>
              <w:t> </w:t>
            </w:r>
          </w:p>
        </w:tc>
      </w:tr>
      <w:tr w:rsidR="00196DEB" w:rsidRPr="00173806" w:rsidTr="00196DEB">
        <w:trPr>
          <w:trHeight w:val="285"/>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r>
      <w:tr w:rsidR="00196DEB" w:rsidRPr="00173806" w:rsidTr="00196DEB">
        <w:trPr>
          <w:trHeight w:val="855"/>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L7) Spese in c/capitale per sisma maggio 2012,  finanziate secondo le modalità  di cui all'art. 1, comma 441, Legge di stabilità 2016 (solo 2016 per gli enti locali dell'Emilia Romagna, Lombardia e Veneto)</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0,00</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i/>
                <w:iCs/>
                <w:color w:val="000000"/>
                <w:sz w:val="20"/>
                <w:u w:color="000000"/>
                <w:bdr w:val="nil"/>
              </w:rPr>
            </w:pPr>
            <w:r w:rsidRPr="00196DEB">
              <w:rPr>
                <w:rFonts w:ascii="Arial" w:eastAsia="Arial Unicode MS" w:hAnsi="Arial" w:cs="Arial"/>
                <w:i/>
                <w:iCs/>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i/>
                <w:iCs/>
                <w:color w:val="000000"/>
                <w:sz w:val="20"/>
                <w:u w:color="000000"/>
                <w:bdr w:val="nil"/>
              </w:rPr>
            </w:pPr>
            <w:r w:rsidRPr="00196DEB">
              <w:rPr>
                <w:rFonts w:ascii="Arial" w:eastAsia="Arial Unicode MS" w:hAnsi="Arial" w:cs="Arial"/>
                <w:i/>
                <w:iCs/>
                <w:color w:val="000000"/>
                <w:sz w:val="20"/>
                <w:u w:color="000000"/>
                <w:bdr w:val="nil"/>
              </w:rPr>
              <w:t> </w:t>
            </w:r>
          </w:p>
        </w:tc>
      </w:tr>
      <w:tr w:rsidR="00196DEB" w:rsidRPr="00173806" w:rsidTr="00196DEB">
        <w:trPr>
          <w:trHeight w:val="285"/>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r>
      <w:tr w:rsidR="00196DEB" w:rsidRPr="00173806" w:rsidTr="00196DEB">
        <w:trPr>
          <w:trHeight w:val="570"/>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L8) Spese per la realizzazione del Museo Nazionale della Shoah  di cui all'art. 1, comma 750, Legge di stabilità 2016 (solo 2016 per Roma Capitale)</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0,00</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i/>
                <w:iCs/>
                <w:color w:val="000000"/>
                <w:sz w:val="20"/>
                <w:u w:color="000000"/>
                <w:bdr w:val="nil"/>
              </w:rPr>
            </w:pPr>
            <w:r w:rsidRPr="00196DEB">
              <w:rPr>
                <w:rFonts w:ascii="Arial" w:eastAsia="Arial Unicode MS" w:hAnsi="Arial" w:cs="Arial"/>
                <w:i/>
                <w:iCs/>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i/>
                <w:iCs/>
                <w:color w:val="000000"/>
                <w:sz w:val="20"/>
                <w:u w:color="000000"/>
                <w:bdr w:val="nil"/>
              </w:rPr>
            </w:pPr>
            <w:r w:rsidRPr="00196DEB">
              <w:rPr>
                <w:rFonts w:ascii="Arial" w:eastAsia="Arial Unicode MS" w:hAnsi="Arial" w:cs="Arial"/>
                <w:i/>
                <w:iCs/>
                <w:color w:val="000000"/>
                <w:sz w:val="20"/>
                <w:u w:color="000000"/>
                <w:bdr w:val="nil"/>
              </w:rPr>
              <w:t> </w:t>
            </w:r>
          </w:p>
        </w:tc>
      </w:tr>
      <w:tr w:rsidR="00196DEB" w:rsidRPr="00173806" w:rsidTr="00196DEB">
        <w:trPr>
          <w:trHeight w:val="285"/>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r>
      <w:tr w:rsidR="00196DEB" w:rsidRPr="00173806" w:rsidTr="00196DEB">
        <w:trPr>
          <w:trHeight w:val="600"/>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L) Titolo 2 - Spese in c/capitale valide ai fini dei saldi di finanza pubblica  (L=L1+L2-L3-L4-L5-L6-L7-L8)</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xml:space="preserve">            312.930.816,41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xml:space="preserve">            208.320.741,70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xml:space="preserve">              30.912.071,75 </w:t>
            </w:r>
          </w:p>
        </w:tc>
      </w:tr>
      <w:tr w:rsidR="00196DEB" w:rsidRPr="00173806" w:rsidTr="00196DEB">
        <w:trPr>
          <w:trHeight w:val="300"/>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w:t>
            </w:r>
          </w:p>
        </w:tc>
      </w:tr>
      <w:tr w:rsidR="00196DEB" w:rsidRPr="00173806" w:rsidTr="00196DEB">
        <w:trPr>
          <w:trHeight w:val="300"/>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w:t>
            </w:r>
          </w:p>
        </w:tc>
      </w:tr>
      <w:tr w:rsidR="00196DEB" w:rsidRPr="00173806" w:rsidTr="00196DEB">
        <w:trPr>
          <w:trHeight w:val="300"/>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M) Titolo 3 - Spese per incremento di attività finanziaria</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xml:space="preserve">              35.358.000,00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xml:space="preserve">              34.000.000,00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xml:space="preserve">              35.000.000,00 </w:t>
            </w:r>
          </w:p>
        </w:tc>
      </w:tr>
      <w:tr w:rsidR="00196DEB" w:rsidRPr="00173806" w:rsidTr="00196DEB">
        <w:trPr>
          <w:trHeight w:val="285"/>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r>
      <w:tr w:rsidR="00196DEB" w:rsidRPr="00173806" w:rsidTr="00196DEB">
        <w:trPr>
          <w:trHeight w:val="600"/>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N) SPESE FINALI VALIDE AI FINI DEI SALDI DI FINANZA PUBBLICA (N=I+L+M)</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r>
      <w:tr w:rsidR="00196DEB" w:rsidRPr="00173806" w:rsidTr="00196DEB">
        <w:trPr>
          <w:trHeight w:val="300"/>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xml:space="preserve">            998.012.226,93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xml:space="preserve">            825.545.195,11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xml:space="preserve">            653.579.493,95 </w:t>
            </w:r>
          </w:p>
        </w:tc>
      </w:tr>
      <w:tr w:rsidR="00196DEB" w:rsidRPr="00173806" w:rsidTr="00196DEB">
        <w:trPr>
          <w:trHeight w:val="315"/>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w:t>
            </w:r>
          </w:p>
        </w:tc>
      </w:tr>
      <w:tr w:rsidR="00196DEB" w:rsidRPr="00173806" w:rsidTr="00196DEB">
        <w:trPr>
          <w:trHeight w:val="300"/>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r>
      <w:tr w:rsidR="00196DEB" w:rsidRPr="00173806" w:rsidTr="00196DEB">
        <w:trPr>
          <w:trHeight w:val="600"/>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xml:space="preserve">O) SALDO TRA ENTRATE E SPESE FINALI VALIDE AI FINI DEI SALDI DI FINANZA PUBBLICA (O=A+B+H-N) </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xml:space="preserve">                6.577.513,91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xml:space="preserve">              23.222.615,17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xml:space="preserve">            106.044.064,09 </w:t>
            </w:r>
          </w:p>
        </w:tc>
      </w:tr>
      <w:tr w:rsidR="00196DEB" w:rsidRPr="00173806" w:rsidTr="00196DEB">
        <w:trPr>
          <w:trHeight w:val="300"/>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r>
      <w:tr w:rsidR="00196DEB" w:rsidRPr="00173806" w:rsidTr="00196DEB">
        <w:trPr>
          <w:trHeight w:val="300"/>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r>
      <w:tr w:rsidR="00196DEB" w:rsidRPr="00173806" w:rsidTr="00196DEB">
        <w:trPr>
          <w:trHeight w:val="285"/>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r>
      <w:tr w:rsidR="00196DEB" w:rsidRPr="00173806" w:rsidTr="00196DEB">
        <w:trPr>
          <w:trHeight w:val="615"/>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Spazi finanziari ceduti o acquisiti  ex art. 1, comma 728, Legge di stabilità 2016  (patto regionale)</w:t>
            </w:r>
            <w:r w:rsidRPr="00196DEB">
              <w:rPr>
                <w:rFonts w:ascii="Arial" w:eastAsia="Arial Unicode MS" w:hAnsi="Arial" w:cs="Arial"/>
                <w:color w:val="000000"/>
                <w:sz w:val="20"/>
                <w:u w:color="000000"/>
                <w:bdr w:val="nil"/>
                <w:vertAlign w:val="superscript"/>
              </w:rPr>
              <w:t>(3)</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0,00</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i/>
                <w:iCs/>
                <w:color w:val="000000"/>
                <w:sz w:val="20"/>
                <w:u w:color="000000"/>
                <w:bdr w:val="nil"/>
              </w:rPr>
            </w:pPr>
            <w:r w:rsidRPr="00196DEB">
              <w:rPr>
                <w:rFonts w:ascii="Arial" w:eastAsia="Arial Unicode MS" w:hAnsi="Arial" w:cs="Arial"/>
                <w:i/>
                <w:iCs/>
                <w:color w:val="000000"/>
                <w:sz w:val="20"/>
                <w:u w:color="000000"/>
                <w:bdr w:val="nil"/>
              </w:rPr>
              <w:t>0,00</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i/>
                <w:iCs/>
                <w:color w:val="000000"/>
                <w:sz w:val="20"/>
                <w:u w:color="000000"/>
                <w:bdr w:val="nil"/>
              </w:rPr>
            </w:pPr>
            <w:r w:rsidRPr="00196DEB">
              <w:rPr>
                <w:rFonts w:ascii="Arial" w:eastAsia="Arial Unicode MS" w:hAnsi="Arial" w:cs="Arial"/>
                <w:i/>
                <w:iCs/>
                <w:color w:val="000000"/>
                <w:sz w:val="20"/>
                <w:u w:color="000000"/>
                <w:bdr w:val="nil"/>
              </w:rPr>
              <w:t>0,00</w:t>
            </w:r>
          </w:p>
        </w:tc>
      </w:tr>
      <w:tr w:rsidR="00196DEB" w:rsidRPr="00173806" w:rsidTr="00196DEB">
        <w:trPr>
          <w:trHeight w:val="285"/>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r>
      <w:tr w:rsidR="00196DEB" w:rsidRPr="00173806" w:rsidTr="00196DEB">
        <w:trPr>
          <w:trHeight w:val="615"/>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Spazi finanziari ceduti o acquisiti ex art. 1, comma 732, Legge di stabilità 2016 (patto nazionale orizzontale)(solo per gli enti locali)</w:t>
            </w:r>
            <w:r w:rsidRPr="00196DEB">
              <w:rPr>
                <w:rFonts w:ascii="Arial" w:eastAsia="Arial Unicode MS" w:hAnsi="Arial" w:cs="Arial"/>
                <w:color w:val="000000"/>
                <w:sz w:val="20"/>
                <w:u w:color="000000"/>
                <w:bdr w:val="nil"/>
                <w:vertAlign w:val="superscript"/>
              </w:rPr>
              <w:t xml:space="preserve">(4) </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0,00</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0,00</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0,00</w:t>
            </w:r>
          </w:p>
        </w:tc>
      </w:tr>
      <w:tr w:rsidR="00196DEB" w:rsidRPr="00173806" w:rsidTr="00196DEB">
        <w:trPr>
          <w:trHeight w:val="285"/>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r>
      <w:tr w:rsidR="00196DEB" w:rsidRPr="00173806" w:rsidTr="00196DEB">
        <w:trPr>
          <w:trHeight w:val="615"/>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Patto regionale orizzontale ai sensi del comma 141 dell'articolo 1 della legge n. 220/2010 anno 2014</w:t>
            </w:r>
            <w:r w:rsidRPr="00196DEB">
              <w:rPr>
                <w:rFonts w:ascii="Arial" w:eastAsia="Arial Unicode MS" w:hAnsi="Arial" w:cs="Arial"/>
                <w:color w:val="000000"/>
                <w:sz w:val="20"/>
                <w:u w:color="000000"/>
                <w:bdr w:val="nil"/>
                <w:vertAlign w:val="superscript"/>
              </w:rPr>
              <w:t xml:space="preserve"> (solo per gli enti locali)(5)</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0,00</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i/>
                <w:iCs/>
                <w:color w:val="000000"/>
                <w:sz w:val="20"/>
                <w:u w:color="000000"/>
                <w:bdr w:val="nil"/>
              </w:rPr>
            </w:pPr>
            <w:r w:rsidRPr="00196DEB">
              <w:rPr>
                <w:rFonts w:ascii="Arial" w:eastAsia="Arial Unicode MS" w:hAnsi="Arial" w:cs="Arial"/>
                <w:i/>
                <w:iCs/>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i/>
                <w:iCs/>
                <w:color w:val="000000"/>
                <w:sz w:val="20"/>
                <w:u w:color="000000"/>
                <w:bdr w:val="nil"/>
              </w:rPr>
            </w:pPr>
            <w:r w:rsidRPr="00196DEB">
              <w:rPr>
                <w:rFonts w:ascii="Arial" w:eastAsia="Arial Unicode MS" w:hAnsi="Arial" w:cs="Arial"/>
                <w:i/>
                <w:iCs/>
                <w:color w:val="000000"/>
                <w:sz w:val="20"/>
                <w:u w:color="000000"/>
                <w:bdr w:val="nil"/>
              </w:rPr>
              <w:t> </w:t>
            </w:r>
          </w:p>
        </w:tc>
      </w:tr>
      <w:tr w:rsidR="00196DEB" w:rsidRPr="00173806" w:rsidTr="00196DEB">
        <w:trPr>
          <w:trHeight w:val="285"/>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r>
      <w:tr w:rsidR="00196DEB" w:rsidRPr="00173806" w:rsidTr="00196DEB">
        <w:trPr>
          <w:trHeight w:val="615"/>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Patto regionale orizzontale ai sensi del comma 480 e segg. dell'articolo 1 della legge n. 190/2014  anno 2015 (solo per gli enti locali)</w:t>
            </w:r>
            <w:r w:rsidRPr="00196DEB">
              <w:rPr>
                <w:rFonts w:ascii="Arial" w:eastAsia="Arial Unicode MS" w:hAnsi="Arial" w:cs="Arial"/>
                <w:color w:val="000000"/>
                <w:sz w:val="20"/>
                <w:u w:color="000000"/>
                <w:bdr w:val="nil"/>
                <w:vertAlign w:val="superscript"/>
              </w:rPr>
              <w:t>(5)</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xml:space="preserve">                4.474.000,00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xml:space="preserve">                4.474.000,00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i/>
                <w:iCs/>
                <w:color w:val="000000"/>
                <w:sz w:val="20"/>
                <w:u w:color="000000"/>
                <w:bdr w:val="nil"/>
              </w:rPr>
            </w:pPr>
            <w:r w:rsidRPr="00196DEB">
              <w:rPr>
                <w:rFonts w:ascii="Arial" w:eastAsia="Arial Unicode MS" w:hAnsi="Arial" w:cs="Arial"/>
                <w:i/>
                <w:iCs/>
                <w:color w:val="000000"/>
                <w:sz w:val="20"/>
                <w:u w:color="000000"/>
                <w:bdr w:val="nil"/>
              </w:rPr>
              <w:t> </w:t>
            </w:r>
          </w:p>
        </w:tc>
      </w:tr>
      <w:tr w:rsidR="00196DEB" w:rsidRPr="00173806" w:rsidTr="00196DEB">
        <w:trPr>
          <w:trHeight w:val="285"/>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r>
      <w:tr w:rsidR="00196DEB" w:rsidRPr="00173806" w:rsidTr="00196DEB">
        <w:trPr>
          <w:trHeight w:val="615"/>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Patto nazionale orizzontale ai sensi dei commi 1-7 dell'art. 4-ter del decreto legge n. 16/2012 anno 2014 (solo per gli enti locali)</w:t>
            </w:r>
            <w:r w:rsidRPr="00196DEB">
              <w:rPr>
                <w:rFonts w:ascii="Arial" w:eastAsia="Arial Unicode MS" w:hAnsi="Arial" w:cs="Arial"/>
                <w:color w:val="000000"/>
                <w:sz w:val="20"/>
                <w:u w:color="000000"/>
                <w:bdr w:val="nil"/>
                <w:vertAlign w:val="superscript"/>
              </w:rPr>
              <w:t>(5)</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0,00</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i/>
                <w:iCs/>
                <w:color w:val="000000"/>
                <w:sz w:val="20"/>
                <w:u w:color="000000"/>
                <w:bdr w:val="nil"/>
              </w:rPr>
            </w:pPr>
            <w:r w:rsidRPr="00196DEB">
              <w:rPr>
                <w:rFonts w:ascii="Arial" w:eastAsia="Arial Unicode MS" w:hAnsi="Arial" w:cs="Arial"/>
                <w:i/>
                <w:iCs/>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i/>
                <w:iCs/>
                <w:color w:val="000000"/>
                <w:sz w:val="20"/>
                <w:u w:color="000000"/>
                <w:bdr w:val="nil"/>
              </w:rPr>
            </w:pPr>
            <w:r w:rsidRPr="00196DEB">
              <w:rPr>
                <w:rFonts w:ascii="Arial" w:eastAsia="Arial Unicode MS" w:hAnsi="Arial" w:cs="Arial"/>
                <w:i/>
                <w:iCs/>
                <w:color w:val="000000"/>
                <w:sz w:val="20"/>
                <w:u w:color="000000"/>
                <w:bdr w:val="nil"/>
              </w:rPr>
              <w:t> </w:t>
            </w:r>
          </w:p>
        </w:tc>
      </w:tr>
      <w:tr w:rsidR="00196DEB" w:rsidRPr="00173806" w:rsidTr="00196DEB">
        <w:trPr>
          <w:trHeight w:val="285"/>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r>
      <w:tr w:rsidR="00196DEB" w:rsidRPr="00173806" w:rsidTr="00196DEB">
        <w:trPr>
          <w:trHeight w:val="615"/>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Patto nazionale orizzontale ai sensi dei commi 1-7 dell'art. 4-ter del decreto legge n. 16/2012 anno 2015 (solo per gli enti locali)</w:t>
            </w:r>
            <w:r w:rsidRPr="00196DEB">
              <w:rPr>
                <w:rFonts w:ascii="Arial" w:eastAsia="Arial Unicode MS" w:hAnsi="Arial" w:cs="Arial"/>
                <w:color w:val="000000"/>
                <w:sz w:val="20"/>
                <w:u w:color="000000"/>
                <w:bdr w:val="nil"/>
                <w:vertAlign w:val="superscript"/>
              </w:rPr>
              <w:t>(5)</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0,00</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0,00</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i/>
                <w:iCs/>
                <w:color w:val="000000"/>
                <w:sz w:val="20"/>
                <w:u w:color="000000"/>
                <w:bdr w:val="nil"/>
              </w:rPr>
            </w:pPr>
            <w:r w:rsidRPr="00196DEB">
              <w:rPr>
                <w:rFonts w:ascii="Arial" w:eastAsia="Arial Unicode MS" w:hAnsi="Arial" w:cs="Arial"/>
                <w:i/>
                <w:iCs/>
                <w:color w:val="000000"/>
                <w:sz w:val="20"/>
                <w:u w:color="000000"/>
                <w:bdr w:val="nil"/>
              </w:rPr>
              <w:t> </w:t>
            </w:r>
          </w:p>
        </w:tc>
      </w:tr>
      <w:tr w:rsidR="00196DEB" w:rsidRPr="00173806" w:rsidTr="00196DEB">
        <w:trPr>
          <w:trHeight w:val="300"/>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r>
      <w:tr w:rsidR="00196DEB" w:rsidRPr="00173806" w:rsidTr="00196DEB">
        <w:trPr>
          <w:trHeight w:val="315"/>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r>
      <w:tr w:rsidR="00196DEB" w:rsidRPr="00173806" w:rsidTr="00196DEB">
        <w:trPr>
          <w:trHeight w:val="345"/>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vertAlign w:val="superscript"/>
              </w:rPr>
              <w:t xml:space="preserve">EQUILIBRIO FINALE  (compresi gli effetti dei patti regionali  e nazionali) </w:t>
            </w:r>
            <w:r w:rsidRPr="00196DEB">
              <w:rPr>
                <w:rFonts w:ascii="Arial" w:eastAsia="Arial Unicode MS" w:hAnsi="Arial" w:cs="Arial"/>
                <w:color w:val="000000"/>
                <w:sz w:val="20"/>
                <w:u w:color="000000"/>
                <w:bdr w:val="nil"/>
                <w:vertAlign w:val="superscript"/>
              </w:rPr>
              <w:t>(6)</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xml:space="preserve">                2.103.513,91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xml:space="preserve">              18.748.615,17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xml:space="preserve">            106.044.064,09 </w:t>
            </w:r>
          </w:p>
        </w:tc>
      </w:tr>
      <w:tr w:rsidR="00196DEB" w:rsidRPr="00173806" w:rsidTr="00196DEB">
        <w:trPr>
          <w:trHeight w:val="315"/>
        </w:trPr>
        <w:tc>
          <w:tcPr>
            <w:tcW w:w="4245" w:type="dxa"/>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w:t>
            </w:r>
          </w:p>
        </w:tc>
        <w:tc>
          <w:tcPr>
            <w:tcW w:w="58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color w:val="000000"/>
                <w:sz w:val="20"/>
                <w:u w:color="000000"/>
                <w:bdr w:val="nil"/>
              </w:rPr>
            </w:pPr>
            <w:r w:rsidRPr="00196DEB">
              <w:rPr>
                <w:rFonts w:ascii="Arial" w:eastAsia="Arial Unicode MS" w:hAnsi="Arial" w:cs="Arial"/>
                <w:color w:val="000000"/>
                <w:sz w:val="20"/>
                <w:u w:color="000000"/>
                <w:bdr w:val="nil"/>
              </w:rPr>
              <w:t> </w:t>
            </w:r>
          </w:p>
        </w:tc>
        <w:tc>
          <w:tcPr>
            <w:tcW w:w="1616"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w:t>
            </w:r>
          </w:p>
        </w:tc>
        <w:tc>
          <w:tcPr>
            <w:tcW w:w="1739"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w:t>
            </w:r>
          </w:p>
        </w:tc>
        <w:tc>
          <w:tcPr>
            <w:tcW w:w="1665" w:type="dxa"/>
            <w:noWrap/>
            <w:hideMark/>
          </w:tcPr>
          <w:p w:rsidR="00196DEB" w:rsidRPr="00196DEB" w:rsidRDefault="00196DEB" w:rsidP="00196DEB">
            <w:pPr>
              <w:pBdr>
                <w:top w:val="nil"/>
                <w:left w:val="nil"/>
                <w:bottom w:val="nil"/>
                <w:right w:val="nil"/>
                <w:between w:val="nil"/>
                <w:bar w:val="nil"/>
              </w:pBdr>
              <w:autoSpaceDE w:val="0"/>
              <w:autoSpaceDN w:val="0"/>
              <w:adjustRightInd w:val="0"/>
              <w:spacing w:before="100" w:after="100" w:line="360" w:lineRule="auto"/>
              <w:jc w:val="both"/>
              <w:rPr>
                <w:rFonts w:ascii="Arial" w:eastAsia="Arial Unicode MS" w:hAnsi="Arial" w:cs="Arial"/>
                <w:b/>
                <w:bCs/>
                <w:color w:val="000000"/>
                <w:sz w:val="20"/>
                <w:u w:color="000000"/>
                <w:bdr w:val="nil"/>
              </w:rPr>
            </w:pPr>
            <w:r w:rsidRPr="00196DEB">
              <w:rPr>
                <w:rFonts w:ascii="Arial" w:eastAsia="Arial Unicode MS" w:hAnsi="Arial" w:cs="Arial"/>
                <w:b/>
                <w:bCs/>
                <w:color w:val="000000"/>
                <w:sz w:val="20"/>
                <w:u w:color="000000"/>
                <w:bdr w:val="nil"/>
              </w:rPr>
              <w:t> </w:t>
            </w:r>
          </w:p>
        </w:tc>
      </w:tr>
    </w:tbl>
    <w:p w:rsidR="00196DEB" w:rsidRDefault="00196DEB" w:rsidP="00196DEB">
      <w:pPr>
        <w:autoSpaceDE w:val="0"/>
        <w:autoSpaceDN w:val="0"/>
        <w:adjustRightInd w:val="0"/>
        <w:spacing w:line="360" w:lineRule="auto"/>
        <w:jc w:val="both"/>
        <w:rPr>
          <w:rFonts w:ascii="Arial" w:hAnsi="Arial" w:cs="Arial"/>
        </w:rPr>
      </w:pPr>
    </w:p>
    <w:p w:rsidR="00196DEB" w:rsidRDefault="00196DEB" w:rsidP="00196DEB">
      <w:pPr>
        <w:autoSpaceDE w:val="0"/>
        <w:autoSpaceDN w:val="0"/>
        <w:adjustRightInd w:val="0"/>
        <w:spacing w:line="360" w:lineRule="auto"/>
        <w:jc w:val="both"/>
        <w:rPr>
          <w:rFonts w:ascii="BookAntiqua" w:hAnsi="BookAntiqua" w:cs="BookAntiqua"/>
        </w:rPr>
      </w:pPr>
    </w:p>
    <w:p w:rsidR="00542B09" w:rsidRDefault="00542B09" w:rsidP="00196DEB">
      <w:pPr>
        <w:autoSpaceDE w:val="0"/>
        <w:autoSpaceDN w:val="0"/>
        <w:adjustRightInd w:val="0"/>
        <w:spacing w:line="360" w:lineRule="auto"/>
        <w:jc w:val="both"/>
        <w:rPr>
          <w:rFonts w:ascii="BookAntiqua" w:hAnsi="BookAntiqua" w:cs="BookAntiqua"/>
        </w:rPr>
      </w:pPr>
    </w:p>
    <w:p w:rsidR="00196DEB" w:rsidRDefault="00196DEB" w:rsidP="00196DEB">
      <w:pPr>
        <w:autoSpaceDE w:val="0"/>
        <w:autoSpaceDN w:val="0"/>
        <w:adjustRightInd w:val="0"/>
        <w:spacing w:line="360" w:lineRule="auto"/>
        <w:jc w:val="both"/>
        <w:rPr>
          <w:rFonts w:ascii="BookAntiqua" w:hAnsi="BookAntiqua" w:cs="BookAntiqua"/>
        </w:rPr>
      </w:pPr>
    </w:p>
    <w:p w:rsidR="00196DEB" w:rsidRPr="00542B09" w:rsidRDefault="00196DEB" w:rsidP="00196DEB">
      <w:pPr>
        <w:pBdr>
          <w:top w:val="single" w:sz="4" w:space="1" w:color="auto"/>
          <w:left w:val="single" w:sz="4" w:space="4" w:color="auto"/>
          <w:bottom w:val="single" w:sz="4" w:space="1" w:color="auto"/>
          <w:right w:val="single" w:sz="4" w:space="4" w:color="auto"/>
        </w:pBdr>
        <w:shd w:val="clear" w:color="auto" w:fill="DAEEF3"/>
        <w:autoSpaceDE w:val="0"/>
        <w:autoSpaceDN w:val="0"/>
        <w:adjustRightInd w:val="0"/>
        <w:spacing w:line="360" w:lineRule="auto"/>
        <w:jc w:val="center"/>
        <w:rPr>
          <w:rFonts w:ascii="Comic Sans MS" w:hAnsi="Comic Sans MS" w:cs="Arial"/>
          <w:b/>
        </w:rPr>
      </w:pPr>
      <w:r w:rsidRPr="00542B09">
        <w:rPr>
          <w:rFonts w:ascii="Comic Sans MS" w:hAnsi="Comic Sans MS" w:cs="Arial"/>
          <w:b/>
        </w:rPr>
        <w:t>CONCLUSIONE</w:t>
      </w:r>
    </w:p>
    <w:p w:rsidR="00196DEB" w:rsidRPr="00542B09" w:rsidRDefault="00196DEB" w:rsidP="00196DEB">
      <w:pPr>
        <w:autoSpaceDE w:val="0"/>
        <w:autoSpaceDN w:val="0"/>
        <w:adjustRightInd w:val="0"/>
        <w:spacing w:line="360" w:lineRule="auto"/>
        <w:jc w:val="both"/>
        <w:rPr>
          <w:rFonts w:ascii="Comic Sans MS" w:hAnsi="Comic Sans MS" w:cs="BookAntiqua"/>
        </w:rPr>
      </w:pPr>
    </w:p>
    <w:p w:rsidR="00196DEB" w:rsidRPr="00542B09" w:rsidRDefault="00196DEB" w:rsidP="00196DEB">
      <w:pPr>
        <w:autoSpaceDE w:val="0"/>
        <w:autoSpaceDN w:val="0"/>
        <w:adjustRightInd w:val="0"/>
        <w:spacing w:line="360" w:lineRule="auto"/>
        <w:jc w:val="both"/>
        <w:rPr>
          <w:rFonts w:ascii="Comic Sans MS" w:hAnsi="Comic Sans MS" w:cs="Arial"/>
        </w:rPr>
      </w:pPr>
      <w:r w:rsidRPr="00542B09">
        <w:rPr>
          <w:rFonts w:ascii="Comic Sans MS" w:hAnsi="Comic Sans MS" w:cs="Arial"/>
        </w:rPr>
        <w:t xml:space="preserve">Tutto ciò premesso, visto il parere favorevole del Responsabile del Servizio Finanziario, il Collegio:  </w:t>
      </w:r>
    </w:p>
    <w:p w:rsidR="00196DEB" w:rsidRPr="00542B09" w:rsidRDefault="00196DEB" w:rsidP="00196DEB">
      <w:pPr>
        <w:autoSpaceDE w:val="0"/>
        <w:autoSpaceDN w:val="0"/>
        <w:adjustRightInd w:val="0"/>
        <w:spacing w:line="360" w:lineRule="auto"/>
        <w:jc w:val="both"/>
        <w:rPr>
          <w:rFonts w:ascii="Comic Sans MS" w:hAnsi="Comic Sans MS" w:cs="Arial"/>
        </w:rPr>
      </w:pPr>
      <w:r w:rsidRPr="00542B09">
        <w:rPr>
          <w:rFonts w:ascii="Comic Sans MS" w:hAnsi="Comic Sans MS" w:cs="Arial"/>
        </w:rPr>
        <w:t>- verificato il permanere degli equilibri di bilancio, sia in conto competenza che in conto residui;</w:t>
      </w:r>
    </w:p>
    <w:p w:rsidR="00196DEB" w:rsidRPr="00542B09" w:rsidRDefault="00196DEB" w:rsidP="00196DEB">
      <w:pPr>
        <w:autoSpaceDE w:val="0"/>
        <w:autoSpaceDN w:val="0"/>
        <w:adjustRightInd w:val="0"/>
        <w:spacing w:line="360" w:lineRule="auto"/>
        <w:jc w:val="both"/>
        <w:rPr>
          <w:rFonts w:ascii="Comic Sans MS" w:hAnsi="Comic Sans MS" w:cs="Arial"/>
        </w:rPr>
      </w:pPr>
      <w:r w:rsidRPr="00542B09">
        <w:rPr>
          <w:rFonts w:ascii="Comic Sans MS" w:hAnsi="Comic Sans MS" w:cs="Arial"/>
        </w:rPr>
        <w:t xml:space="preserve">- verificata l’inesistenza di altri debiti fuori bilancio, non riconosciuti o non finanziati </w:t>
      </w:r>
    </w:p>
    <w:p w:rsidR="00196DEB" w:rsidRPr="00542B09" w:rsidRDefault="00196DEB" w:rsidP="00196DEB">
      <w:pPr>
        <w:autoSpaceDE w:val="0"/>
        <w:autoSpaceDN w:val="0"/>
        <w:adjustRightInd w:val="0"/>
        <w:spacing w:line="360" w:lineRule="auto"/>
        <w:jc w:val="both"/>
        <w:rPr>
          <w:rFonts w:ascii="Comic Sans MS" w:hAnsi="Comic Sans MS" w:cs="Arial"/>
        </w:rPr>
      </w:pPr>
      <w:r w:rsidRPr="00542B09">
        <w:rPr>
          <w:rFonts w:ascii="Comic Sans MS" w:hAnsi="Comic Sans MS" w:cs="Arial"/>
        </w:rPr>
        <w:t>- verificata la coerenza sia delle previsioni che della gestione relativamente agli obiettivi di finanza pubblica per gli anni 2016/2018;</w:t>
      </w:r>
    </w:p>
    <w:p w:rsidR="00196DEB" w:rsidRPr="00542B09" w:rsidRDefault="00196DEB" w:rsidP="00196DEB">
      <w:pPr>
        <w:autoSpaceDE w:val="0"/>
        <w:autoSpaceDN w:val="0"/>
        <w:adjustRightInd w:val="0"/>
        <w:spacing w:line="360" w:lineRule="auto"/>
        <w:jc w:val="both"/>
        <w:rPr>
          <w:rFonts w:ascii="Comic Sans MS" w:hAnsi="Comic Sans MS" w:cs="Arial"/>
        </w:rPr>
      </w:pPr>
    </w:p>
    <w:p w:rsidR="00196DEB" w:rsidRPr="00542B09" w:rsidRDefault="00196DEB" w:rsidP="00196DEB">
      <w:pPr>
        <w:autoSpaceDE w:val="0"/>
        <w:autoSpaceDN w:val="0"/>
        <w:adjustRightInd w:val="0"/>
        <w:spacing w:line="360" w:lineRule="auto"/>
        <w:jc w:val="both"/>
        <w:rPr>
          <w:rFonts w:ascii="Comic Sans MS" w:hAnsi="Comic Sans MS" w:cs="Arial"/>
        </w:rPr>
      </w:pPr>
      <w:r w:rsidRPr="00542B09">
        <w:rPr>
          <w:rFonts w:ascii="Comic Sans MS" w:hAnsi="Comic Sans MS" w:cs="Arial"/>
        </w:rPr>
        <w:t>esprime parere favorevole sulla proposta di deliberazione relativa agli equilibri di bilancio, sia in conto competenza che in conto residui ed esprime il parere favorevole alla variazione di bilancio di previsione proposta.</w:t>
      </w:r>
    </w:p>
    <w:p w:rsidR="00196DEB" w:rsidRDefault="00196DEB" w:rsidP="00E7457A">
      <w:pPr>
        <w:pStyle w:val="a"/>
        <w:spacing w:line="360" w:lineRule="auto"/>
        <w:jc w:val="both"/>
        <w:rPr>
          <w:rFonts w:ascii="Comic Sans MS" w:hAnsi="Comic Sans MS"/>
          <w:b w:val="0"/>
          <w:color w:val="000000"/>
        </w:rPr>
      </w:pPr>
    </w:p>
    <w:p w:rsidR="00E7457A" w:rsidRDefault="00E7457A" w:rsidP="00E7457A">
      <w:pPr>
        <w:pStyle w:val="a"/>
        <w:spacing w:line="360" w:lineRule="auto"/>
        <w:jc w:val="both"/>
        <w:rPr>
          <w:rFonts w:ascii="Comic Sans MS" w:hAnsi="Comic Sans MS"/>
          <w:b w:val="0"/>
          <w:color w:val="000000"/>
        </w:rPr>
      </w:pPr>
      <w:r>
        <w:rPr>
          <w:rFonts w:ascii="Comic Sans MS" w:hAnsi="Comic Sans MS"/>
          <w:b w:val="0"/>
          <w:color w:val="000000"/>
        </w:rPr>
        <w:t>Firenze, 1</w:t>
      </w:r>
      <w:r w:rsidR="00542B09">
        <w:rPr>
          <w:rFonts w:ascii="Comic Sans MS" w:hAnsi="Comic Sans MS"/>
          <w:b w:val="0"/>
          <w:color w:val="000000"/>
        </w:rPr>
        <w:t>5 luglio</w:t>
      </w:r>
      <w:r>
        <w:rPr>
          <w:rFonts w:ascii="Comic Sans MS" w:hAnsi="Comic Sans MS"/>
          <w:b w:val="0"/>
          <w:color w:val="000000"/>
        </w:rPr>
        <w:t xml:space="preserve"> 2016</w:t>
      </w:r>
    </w:p>
    <w:p w:rsidR="00E7457A" w:rsidRDefault="00E7457A" w:rsidP="00E7457A">
      <w:pPr>
        <w:pStyle w:val="a"/>
        <w:spacing w:line="360" w:lineRule="auto"/>
        <w:jc w:val="both"/>
        <w:rPr>
          <w:rFonts w:ascii="Comic Sans MS" w:hAnsi="Comic Sans MS"/>
          <w:b w:val="0"/>
          <w:color w:val="000000"/>
        </w:rPr>
      </w:pPr>
      <w:r>
        <w:rPr>
          <w:rFonts w:ascii="Comic Sans MS" w:hAnsi="Comic Sans MS"/>
          <w:b w:val="0"/>
          <w:color w:val="000000"/>
        </w:rPr>
        <w:t>L’organo di revisione</w:t>
      </w:r>
    </w:p>
    <w:p w:rsidR="00E7457A" w:rsidRDefault="00E7457A" w:rsidP="00E7457A">
      <w:pPr>
        <w:pStyle w:val="a"/>
        <w:spacing w:line="360" w:lineRule="auto"/>
        <w:jc w:val="both"/>
        <w:rPr>
          <w:rFonts w:ascii="Comic Sans MS" w:hAnsi="Comic Sans MS"/>
          <w:b w:val="0"/>
          <w:color w:val="000000"/>
        </w:rPr>
      </w:pPr>
    </w:p>
    <w:p w:rsidR="00E7457A" w:rsidRDefault="00E7457A" w:rsidP="00E7457A">
      <w:pPr>
        <w:pStyle w:val="a"/>
        <w:spacing w:line="360" w:lineRule="auto"/>
        <w:jc w:val="both"/>
        <w:rPr>
          <w:rFonts w:ascii="Comic Sans MS" w:hAnsi="Comic Sans MS"/>
          <w:b w:val="0"/>
          <w:color w:val="000000"/>
        </w:rPr>
      </w:pPr>
      <w:r>
        <w:rPr>
          <w:rFonts w:ascii="Comic Sans MS" w:hAnsi="Comic Sans MS"/>
          <w:b w:val="0"/>
          <w:color w:val="000000"/>
        </w:rPr>
        <w:t>_________________</w:t>
      </w:r>
    </w:p>
    <w:p w:rsidR="00E7457A" w:rsidRDefault="00E7457A" w:rsidP="00E7457A">
      <w:pPr>
        <w:pStyle w:val="a"/>
        <w:spacing w:line="360" w:lineRule="auto"/>
        <w:jc w:val="both"/>
        <w:rPr>
          <w:rFonts w:ascii="Comic Sans MS" w:hAnsi="Comic Sans MS"/>
          <w:b w:val="0"/>
          <w:color w:val="000000"/>
        </w:rPr>
      </w:pPr>
      <w:r>
        <w:rPr>
          <w:rFonts w:ascii="Comic Sans MS" w:hAnsi="Comic Sans MS"/>
          <w:b w:val="0"/>
          <w:color w:val="000000"/>
        </w:rPr>
        <w:t>Dott.ssa  Daniela Romoli</w:t>
      </w:r>
    </w:p>
    <w:p w:rsidR="00E7457A" w:rsidRDefault="00E7457A" w:rsidP="00E7457A">
      <w:pPr>
        <w:pStyle w:val="a"/>
        <w:spacing w:line="360" w:lineRule="auto"/>
        <w:jc w:val="both"/>
        <w:rPr>
          <w:rFonts w:ascii="Comic Sans MS" w:hAnsi="Comic Sans MS"/>
          <w:b w:val="0"/>
          <w:color w:val="000000"/>
        </w:rPr>
      </w:pPr>
    </w:p>
    <w:p w:rsidR="00E7457A" w:rsidRDefault="00E7457A" w:rsidP="00E7457A">
      <w:pPr>
        <w:pStyle w:val="a"/>
        <w:spacing w:line="360" w:lineRule="auto"/>
        <w:jc w:val="both"/>
        <w:rPr>
          <w:rFonts w:ascii="Comic Sans MS" w:hAnsi="Comic Sans MS"/>
          <w:b w:val="0"/>
          <w:color w:val="000000"/>
        </w:rPr>
      </w:pPr>
      <w:r>
        <w:rPr>
          <w:rFonts w:ascii="Comic Sans MS" w:hAnsi="Comic Sans MS"/>
          <w:b w:val="0"/>
          <w:color w:val="000000"/>
        </w:rPr>
        <w:t>__________________</w:t>
      </w:r>
    </w:p>
    <w:p w:rsidR="00E7457A" w:rsidRDefault="00E7457A" w:rsidP="00E7457A">
      <w:pPr>
        <w:pStyle w:val="a"/>
        <w:spacing w:line="360" w:lineRule="auto"/>
        <w:jc w:val="both"/>
        <w:rPr>
          <w:rFonts w:ascii="Comic Sans MS" w:hAnsi="Comic Sans MS"/>
          <w:b w:val="0"/>
          <w:color w:val="000000"/>
        </w:rPr>
      </w:pPr>
      <w:r>
        <w:rPr>
          <w:rFonts w:ascii="Comic Sans MS" w:hAnsi="Comic Sans MS"/>
          <w:b w:val="0"/>
          <w:color w:val="000000"/>
        </w:rPr>
        <w:t>Dott. Francesco Fiaschi</w:t>
      </w:r>
    </w:p>
    <w:p w:rsidR="00E7457A" w:rsidRDefault="00E7457A" w:rsidP="00E7457A">
      <w:pPr>
        <w:pStyle w:val="a"/>
        <w:spacing w:line="360" w:lineRule="auto"/>
        <w:jc w:val="both"/>
        <w:rPr>
          <w:rFonts w:ascii="Comic Sans MS" w:hAnsi="Comic Sans MS"/>
          <w:b w:val="0"/>
          <w:color w:val="000000"/>
        </w:rPr>
      </w:pPr>
    </w:p>
    <w:p w:rsidR="00E7457A" w:rsidRDefault="00E7457A" w:rsidP="00E7457A">
      <w:pPr>
        <w:pStyle w:val="a"/>
        <w:spacing w:line="360" w:lineRule="auto"/>
        <w:jc w:val="both"/>
        <w:rPr>
          <w:rFonts w:ascii="Comic Sans MS" w:hAnsi="Comic Sans MS"/>
          <w:b w:val="0"/>
          <w:color w:val="000000"/>
        </w:rPr>
      </w:pPr>
      <w:r>
        <w:rPr>
          <w:rFonts w:ascii="Comic Sans MS" w:hAnsi="Comic Sans MS"/>
          <w:b w:val="0"/>
          <w:color w:val="000000"/>
        </w:rPr>
        <w:t>__________________</w:t>
      </w:r>
    </w:p>
    <w:p w:rsidR="00D40695" w:rsidRDefault="00E7457A" w:rsidP="00E7457A">
      <w:pPr>
        <w:pStyle w:val="a"/>
        <w:spacing w:line="360" w:lineRule="auto"/>
        <w:jc w:val="both"/>
      </w:pPr>
      <w:r>
        <w:rPr>
          <w:rFonts w:ascii="Comic Sans MS" w:hAnsi="Comic Sans MS"/>
          <w:b w:val="0"/>
          <w:color w:val="000000"/>
        </w:rPr>
        <w:t>Dott. Raffaele Maio</w:t>
      </w:r>
    </w:p>
    <w:sectPr w:rsidR="00D40695">
      <w:headerReference w:type="default" r:id="rId19"/>
      <w:footerReference w:type="even" r:id="rId20"/>
      <w:footerReference w:type="default" r:id="rId2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7FE" w:rsidRDefault="00EF77FE">
      <w:r>
        <w:separator/>
      </w:r>
    </w:p>
  </w:endnote>
  <w:endnote w:type="continuationSeparator" w:id="0">
    <w:p w:rsidR="00EF77FE" w:rsidRDefault="00EF7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4D6" w:rsidRDefault="00B424D6" w:rsidP="00B1416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B424D6" w:rsidRDefault="00B424D6" w:rsidP="00BF461C">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4D6" w:rsidRDefault="00B424D6" w:rsidP="00B1416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16DF2">
      <w:rPr>
        <w:rStyle w:val="Numeropagina"/>
        <w:noProof/>
      </w:rPr>
      <w:t>1</w:t>
    </w:r>
    <w:r>
      <w:rPr>
        <w:rStyle w:val="Numeropagina"/>
      </w:rPr>
      <w:fldChar w:fldCharType="end"/>
    </w:r>
  </w:p>
  <w:p w:rsidR="00B424D6" w:rsidRPr="00D40695" w:rsidRDefault="00D40695" w:rsidP="00BF461C">
    <w:pPr>
      <w:pStyle w:val="Pidipagina"/>
      <w:ind w:right="360"/>
      <w:rPr>
        <w:rFonts w:ascii="Arial" w:hAnsi="Arial" w:cs="Arial"/>
        <w:sz w:val="18"/>
        <w:szCs w:val="18"/>
      </w:rPr>
    </w:pPr>
    <w:r w:rsidRPr="00D40695">
      <w:rPr>
        <w:rFonts w:ascii="Arial" w:hAnsi="Arial" w:cs="Arial"/>
        <w:sz w:val="18"/>
        <w:szCs w:val="18"/>
      </w:rPr>
      <w:t>Documento informatico sottoscritto digitalmente ai sensi dell’art. 21 c.2 del Codice di Amministrazione Digitale.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7FE" w:rsidRDefault="00EF77FE">
      <w:r>
        <w:separator/>
      </w:r>
    </w:p>
  </w:footnote>
  <w:footnote w:type="continuationSeparator" w:id="0">
    <w:p w:rsidR="00EF77FE" w:rsidRDefault="00EF77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695" w:rsidRDefault="00F16DF2" w:rsidP="00D40695">
    <w:pPr>
      <w:ind w:right="5678"/>
      <w:jc w:val="center"/>
      <w:rPr>
        <w:rFonts w:ascii="Verdana" w:hAnsi="Verdana"/>
        <w:sz w:val="16"/>
      </w:rPr>
    </w:pPr>
    <w:r>
      <w:rPr>
        <w:rFonts w:ascii="Verdana" w:hAnsi="Verdana"/>
        <w:noProof/>
        <w:sz w:val="16"/>
      </w:rPr>
      <w:drawing>
        <wp:inline distT="0" distB="0" distL="0" distR="0">
          <wp:extent cx="304800" cy="342900"/>
          <wp:effectExtent l="0" t="0" r="0" b="0"/>
          <wp:docPr id="6" name="Immagine 6" descr="gigli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igli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42900"/>
                  </a:xfrm>
                  <a:prstGeom prst="rect">
                    <a:avLst/>
                  </a:prstGeom>
                  <a:noFill/>
                  <a:ln>
                    <a:noFill/>
                  </a:ln>
                </pic:spPr>
              </pic:pic>
            </a:graphicData>
          </a:graphic>
        </wp:inline>
      </w:drawing>
    </w:r>
  </w:p>
  <w:p w:rsidR="00D40695" w:rsidRDefault="00D40695" w:rsidP="00D40695">
    <w:pPr>
      <w:ind w:right="5678"/>
      <w:jc w:val="center"/>
      <w:rPr>
        <w:rFonts w:ascii="Verdana" w:hAnsi="Verdana"/>
        <w:b/>
        <w:i/>
        <w:color w:val="FF0000"/>
        <w:sz w:val="16"/>
        <w:szCs w:val="16"/>
      </w:rPr>
    </w:pPr>
    <w:r>
      <w:rPr>
        <w:rFonts w:ascii="Verdana" w:hAnsi="Verdana"/>
        <w:b/>
        <w:i/>
        <w:color w:val="FF0000"/>
        <w:sz w:val="16"/>
        <w:szCs w:val="16"/>
      </w:rPr>
      <w:t>COMUNE DI FIRENZE</w:t>
    </w:r>
  </w:p>
  <w:p w:rsidR="00D40695" w:rsidRDefault="00D40695" w:rsidP="00D40695">
    <w:pPr>
      <w:ind w:right="5678"/>
      <w:jc w:val="center"/>
      <w:rPr>
        <w:rFonts w:ascii="Verdana" w:hAnsi="Verdana"/>
        <w:b/>
        <w:i/>
        <w:color w:val="FF0000"/>
        <w:sz w:val="16"/>
        <w:szCs w:val="16"/>
      </w:rPr>
    </w:pPr>
    <w:r>
      <w:rPr>
        <w:rFonts w:ascii="Verdana" w:hAnsi="Verdana"/>
        <w:b/>
        <w:i/>
        <w:color w:val="FF0000"/>
        <w:sz w:val="16"/>
        <w:szCs w:val="16"/>
      </w:rPr>
      <w:t>Collegio dei Revisori dei Conti</w:t>
    </w:r>
  </w:p>
  <w:p w:rsidR="00D40695" w:rsidRDefault="00D40695" w:rsidP="00D40695">
    <w:pPr>
      <w:ind w:right="5678"/>
      <w:jc w:val="center"/>
      <w:rPr>
        <w:rFonts w:ascii="Verdana" w:hAnsi="Verdana"/>
        <w:b/>
        <w:i/>
        <w:color w:val="FF0000"/>
        <w:sz w:val="16"/>
        <w:szCs w:val="16"/>
      </w:rPr>
    </w:pPr>
    <w:r w:rsidRPr="001E3E62">
      <w:rPr>
        <w:rFonts w:ascii="Verdana" w:hAnsi="Verdana"/>
        <w:b/>
        <w:i/>
        <w:color w:val="FF0000"/>
        <w:sz w:val="16"/>
        <w:szCs w:val="16"/>
      </w:rPr>
      <w:t>Palazzo Vecchio, - Piazza della Signoria 50122 FIRENZE</w:t>
    </w:r>
  </w:p>
  <w:p w:rsidR="00D40695" w:rsidRDefault="00D4069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3DEE"/>
    <w:multiLevelType w:val="hybridMultilevel"/>
    <w:tmpl w:val="724082A2"/>
    <w:lvl w:ilvl="0" w:tplc="04100001">
      <w:start w:val="1"/>
      <w:numFmt w:val="bullet"/>
      <w:lvlText w:val=""/>
      <w:lvlJc w:val="left"/>
      <w:pPr>
        <w:tabs>
          <w:tab w:val="num" w:pos="644"/>
        </w:tabs>
        <w:ind w:left="644"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C4DCB010">
      <w:numFmt w:val="bullet"/>
      <w:lvlText w:val="-"/>
      <w:lvlJc w:val="left"/>
      <w:pPr>
        <w:ind w:left="2160" w:hanging="360"/>
      </w:pPr>
      <w:rPr>
        <w:rFonts w:ascii="Garamond" w:eastAsia="Times New Roman" w:hAnsi="Garamond" w:cs="Times New Roman" w:hint="default"/>
        <w:b w:val="0"/>
      </w:r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0AE112CB"/>
    <w:multiLevelType w:val="hybridMultilevel"/>
    <w:tmpl w:val="39DAED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0EC4EDD"/>
    <w:multiLevelType w:val="hybridMultilevel"/>
    <w:tmpl w:val="A0CE7CAC"/>
    <w:lvl w:ilvl="0" w:tplc="BCAED450">
      <w:numFmt w:val="bullet"/>
      <w:lvlText w:val="-"/>
      <w:lvlJc w:val="left"/>
      <w:pPr>
        <w:tabs>
          <w:tab w:val="num" w:pos="720"/>
        </w:tabs>
        <w:ind w:left="720" w:hanging="360"/>
      </w:pPr>
      <w:rPr>
        <w:rFonts w:ascii="Comic Sans MS" w:eastAsia="Times New Roman" w:hAnsi="Comic Sans M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30E16443"/>
    <w:multiLevelType w:val="hybridMultilevel"/>
    <w:tmpl w:val="4CBC318C"/>
    <w:lvl w:ilvl="0" w:tplc="F9E4483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49C0EC9"/>
    <w:multiLevelType w:val="hybridMultilevel"/>
    <w:tmpl w:val="8E001A4E"/>
    <w:lvl w:ilvl="0" w:tplc="3F42229E">
      <w:numFmt w:val="bullet"/>
      <w:lvlText w:val="-"/>
      <w:lvlJc w:val="left"/>
      <w:pPr>
        <w:tabs>
          <w:tab w:val="num" w:pos="720"/>
        </w:tabs>
        <w:ind w:left="720" w:hanging="360"/>
      </w:pPr>
      <w:rPr>
        <w:rFonts w:ascii="Comic Sans MS" w:eastAsia="Times New Roman" w:hAnsi="Comic Sans M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99C5029"/>
    <w:multiLevelType w:val="hybridMultilevel"/>
    <w:tmpl w:val="60A65BD2"/>
    <w:lvl w:ilvl="0" w:tplc="B74EE172">
      <w:start w:val="1"/>
      <w:numFmt w:val="bullet"/>
      <w:lvlText w:val="-"/>
      <w:lvlJc w:val="left"/>
      <w:pPr>
        <w:ind w:left="720" w:hanging="360"/>
      </w:pPr>
      <w:rPr>
        <w:rFonts w:ascii="Comic Sans MS" w:eastAsia="Times New Roman"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B197707"/>
    <w:multiLevelType w:val="hybridMultilevel"/>
    <w:tmpl w:val="206055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3630FD2"/>
    <w:multiLevelType w:val="hybridMultilevel"/>
    <w:tmpl w:val="F3C6A8C0"/>
    <w:lvl w:ilvl="0" w:tplc="E1947FF8">
      <w:numFmt w:val="bullet"/>
      <w:lvlText w:val="-"/>
      <w:lvlJc w:val="left"/>
      <w:pPr>
        <w:tabs>
          <w:tab w:val="num" w:pos="720"/>
        </w:tabs>
        <w:ind w:left="720" w:hanging="360"/>
      </w:pPr>
      <w:rPr>
        <w:rFonts w:ascii="Comic Sans MS" w:eastAsia="Times New Roman" w:hAnsi="Comic Sans M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71D30E73"/>
    <w:multiLevelType w:val="hybridMultilevel"/>
    <w:tmpl w:val="277298B4"/>
    <w:lvl w:ilvl="0" w:tplc="13F04406">
      <w:numFmt w:val="bullet"/>
      <w:lvlText w:val="-"/>
      <w:lvlJc w:val="left"/>
      <w:pPr>
        <w:tabs>
          <w:tab w:val="num" w:pos="720"/>
        </w:tabs>
        <w:ind w:left="720" w:hanging="360"/>
      </w:pPr>
      <w:rPr>
        <w:rFonts w:ascii="Comic Sans MS" w:eastAsia="Times New Roman" w:hAnsi="Comic Sans M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7CC263B2"/>
    <w:multiLevelType w:val="hybridMultilevel"/>
    <w:tmpl w:val="5FD26B94"/>
    <w:lvl w:ilvl="0" w:tplc="4786767E">
      <w:numFmt w:val="bullet"/>
      <w:lvlText w:val="-"/>
      <w:lvlJc w:val="left"/>
      <w:pPr>
        <w:tabs>
          <w:tab w:val="num" w:pos="720"/>
        </w:tabs>
        <w:ind w:left="720" w:hanging="360"/>
      </w:pPr>
      <w:rPr>
        <w:rFonts w:ascii="Comic Sans MS" w:eastAsia="Times New Roman" w:hAnsi="Comic Sans M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4"/>
  </w:num>
  <w:num w:numId="4">
    <w:abstractNumId w:val="7"/>
  </w:num>
  <w:num w:numId="5">
    <w:abstractNumId w:val="9"/>
  </w:num>
  <w:num w:numId="6">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D3D"/>
    <w:rsid w:val="00091DAE"/>
    <w:rsid w:val="000C5FEC"/>
    <w:rsid w:val="000D18DA"/>
    <w:rsid w:val="00115110"/>
    <w:rsid w:val="00133BBB"/>
    <w:rsid w:val="00141B0A"/>
    <w:rsid w:val="00165A59"/>
    <w:rsid w:val="001671EE"/>
    <w:rsid w:val="00196DEB"/>
    <w:rsid w:val="001E744C"/>
    <w:rsid w:val="00203D3D"/>
    <w:rsid w:val="00221113"/>
    <w:rsid w:val="00247B3B"/>
    <w:rsid w:val="002B0D2C"/>
    <w:rsid w:val="002F2C93"/>
    <w:rsid w:val="002F5CC4"/>
    <w:rsid w:val="003D65C0"/>
    <w:rsid w:val="004112D8"/>
    <w:rsid w:val="00411F8C"/>
    <w:rsid w:val="00423129"/>
    <w:rsid w:val="00433D13"/>
    <w:rsid w:val="004674AB"/>
    <w:rsid w:val="0049784C"/>
    <w:rsid w:val="004B374F"/>
    <w:rsid w:val="004C2BDC"/>
    <w:rsid w:val="00533E42"/>
    <w:rsid w:val="005375C6"/>
    <w:rsid w:val="00542B09"/>
    <w:rsid w:val="00553D8F"/>
    <w:rsid w:val="005A73CC"/>
    <w:rsid w:val="005C4D70"/>
    <w:rsid w:val="006173C7"/>
    <w:rsid w:val="00673857"/>
    <w:rsid w:val="00676C62"/>
    <w:rsid w:val="006D458B"/>
    <w:rsid w:val="006E6111"/>
    <w:rsid w:val="00770F76"/>
    <w:rsid w:val="007D7889"/>
    <w:rsid w:val="00815041"/>
    <w:rsid w:val="0083009C"/>
    <w:rsid w:val="00837312"/>
    <w:rsid w:val="00845CAA"/>
    <w:rsid w:val="00852C3D"/>
    <w:rsid w:val="0086498E"/>
    <w:rsid w:val="00866592"/>
    <w:rsid w:val="008A76CF"/>
    <w:rsid w:val="008C6A3B"/>
    <w:rsid w:val="008D112E"/>
    <w:rsid w:val="00992D1D"/>
    <w:rsid w:val="0099369F"/>
    <w:rsid w:val="00996D01"/>
    <w:rsid w:val="009B2840"/>
    <w:rsid w:val="00A72D03"/>
    <w:rsid w:val="00AC2833"/>
    <w:rsid w:val="00AD7502"/>
    <w:rsid w:val="00AE1CF8"/>
    <w:rsid w:val="00B1416D"/>
    <w:rsid w:val="00B424D6"/>
    <w:rsid w:val="00B430B0"/>
    <w:rsid w:val="00BD5787"/>
    <w:rsid w:val="00BF461C"/>
    <w:rsid w:val="00C06515"/>
    <w:rsid w:val="00C50F01"/>
    <w:rsid w:val="00C70440"/>
    <w:rsid w:val="00CC50F3"/>
    <w:rsid w:val="00D40695"/>
    <w:rsid w:val="00D54520"/>
    <w:rsid w:val="00D568AC"/>
    <w:rsid w:val="00D67A1A"/>
    <w:rsid w:val="00DF6E35"/>
    <w:rsid w:val="00E32D13"/>
    <w:rsid w:val="00E55135"/>
    <w:rsid w:val="00E7457A"/>
    <w:rsid w:val="00EF77FE"/>
    <w:rsid w:val="00F06811"/>
    <w:rsid w:val="00F16DF2"/>
    <w:rsid w:val="00F865D9"/>
    <w:rsid w:val="00FA7A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F461C"/>
    <w:rPr>
      <w:sz w:val="24"/>
      <w:szCs w:val="24"/>
    </w:rPr>
  </w:style>
  <w:style w:type="paragraph" w:styleId="Titolo3">
    <w:name w:val="heading 3"/>
    <w:basedOn w:val="Normale"/>
    <w:next w:val="Normale"/>
    <w:link w:val="Titolo3Carattere"/>
    <w:semiHidden/>
    <w:unhideWhenUsed/>
    <w:qFormat/>
    <w:rsid w:val="00A72D03"/>
    <w:pPr>
      <w:keepNext/>
      <w:jc w:val="right"/>
      <w:outlineLvl w:val="2"/>
    </w:pPr>
    <w:rPr>
      <w:rFonts w:ascii="Arial" w:hAnsi="Arial"/>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1"/>
    <w:semiHidden/>
    <w:rsid w:val="00BF461C"/>
    <w:pPr>
      <w:spacing w:line="480" w:lineRule="auto"/>
      <w:jc w:val="center"/>
    </w:pPr>
    <w:rPr>
      <w:b/>
      <w:bCs/>
    </w:rPr>
  </w:style>
  <w:style w:type="character" w:customStyle="1" w:styleId="CorpotestoCarattere1">
    <w:name w:val="Corpo testo Carattere1"/>
    <w:basedOn w:val="Carpredefinitoparagrafo"/>
    <w:link w:val="Corpotesto"/>
    <w:semiHidden/>
    <w:rsid w:val="00BF461C"/>
    <w:rPr>
      <w:b/>
      <w:bCs/>
      <w:sz w:val="24"/>
      <w:szCs w:val="24"/>
      <w:lang w:val="it-IT" w:eastAsia="it-IT" w:bidi="ar-SA"/>
    </w:rPr>
  </w:style>
  <w:style w:type="paragraph" w:styleId="Pidipagina">
    <w:name w:val="footer"/>
    <w:basedOn w:val="Normale"/>
    <w:link w:val="PidipaginaCarattere"/>
    <w:uiPriority w:val="99"/>
    <w:rsid w:val="00BF461C"/>
    <w:pPr>
      <w:tabs>
        <w:tab w:val="center" w:pos="4819"/>
        <w:tab w:val="right" w:pos="9638"/>
      </w:tabs>
    </w:pPr>
  </w:style>
  <w:style w:type="character" w:styleId="Numeropagina">
    <w:name w:val="page number"/>
    <w:basedOn w:val="Carpredefinitoparagrafo"/>
    <w:rsid w:val="00BF461C"/>
  </w:style>
  <w:style w:type="paragraph" w:customStyle="1" w:styleId="TestoGrassetto">
    <w:name w:val="Testo Grassetto"/>
    <w:rsid w:val="00D67A1A"/>
    <w:pPr>
      <w:jc w:val="center"/>
    </w:pPr>
    <w:rPr>
      <w:b/>
      <w:noProof/>
      <w:sz w:val="24"/>
    </w:rPr>
  </w:style>
  <w:style w:type="paragraph" w:styleId="Intestazione">
    <w:name w:val="header"/>
    <w:basedOn w:val="Normale"/>
    <w:link w:val="IntestazioneCarattere"/>
    <w:uiPriority w:val="99"/>
    <w:rsid w:val="00D40695"/>
    <w:pPr>
      <w:tabs>
        <w:tab w:val="center" w:pos="4819"/>
        <w:tab w:val="right" w:pos="9638"/>
      </w:tabs>
    </w:pPr>
  </w:style>
  <w:style w:type="character" w:customStyle="1" w:styleId="Titolo3Carattere">
    <w:name w:val="Titolo 3 Carattere"/>
    <w:basedOn w:val="Carpredefinitoparagrafo"/>
    <w:link w:val="Titolo3"/>
    <w:semiHidden/>
    <w:rsid w:val="00A72D03"/>
    <w:rPr>
      <w:rFonts w:ascii="Arial" w:hAnsi="Arial"/>
      <w:b/>
      <w:sz w:val="24"/>
    </w:rPr>
  </w:style>
  <w:style w:type="paragraph" w:styleId="Paragrafoelenco">
    <w:name w:val="List Paragraph"/>
    <w:basedOn w:val="Normale"/>
    <w:uiPriority w:val="34"/>
    <w:qFormat/>
    <w:rsid w:val="00A72D03"/>
    <w:pPr>
      <w:spacing w:after="200" w:line="276" w:lineRule="auto"/>
      <w:ind w:left="720"/>
      <w:contextualSpacing/>
    </w:pPr>
    <w:rPr>
      <w:rFonts w:ascii="Calibri" w:hAnsi="Calibri"/>
      <w:sz w:val="22"/>
      <w:szCs w:val="22"/>
    </w:rPr>
  </w:style>
  <w:style w:type="paragraph" w:styleId="NormaleWeb">
    <w:name w:val="Normal (Web)"/>
    <w:uiPriority w:val="99"/>
    <w:rsid w:val="00A72D03"/>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paragraph" w:customStyle="1" w:styleId="a">
    <w:basedOn w:val="Normale"/>
    <w:next w:val="Corpotesto"/>
    <w:link w:val="CorpotestoCarattere"/>
    <w:rsid w:val="00E7457A"/>
    <w:pPr>
      <w:spacing w:line="480" w:lineRule="auto"/>
      <w:jc w:val="center"/>
    </w:pPr>
    <w:rPr>
      <w:b/>
      <w:bCs/>
    </w:rPr>
  </w:style>
  <w:style w:type="character" w:customStyle="1" w:styleId="CorpotestoCarattere">
    <w:name w:val="Corpo testo Carattere"/>
    <w:link w:val="a"/>
    <w:semiHidden/>
    <w:rsid w:val="00E7457A"/>
    <w:rPr>
      <w:b/>
      <w:bCs/>
      <w:sz w:val="24"/>
      <w:szCs w:val="24"/>
      <w:lang w:val="it-IT" w:eastAsia="it-IT" w:bidi="ar-SA"/>
    </w:rPr>
  </w:style>
  <w:style w:type="character" w:customStyle="1" w:styleId="IntestazioneCarattere">
    <w:name w:val="Intestazione Carattere"/>
    <w:basedOn w:val="Carpredefinitoparagrafo"/>
    <w:link w:val="Intestazione"/>
    <w:uiPriority w:val="99"/>
    <w:rsid w:val="00196DEB"/>
    <w:rPr>
      <w:sz w:val="24"/>
      <w:szCs w:val="24"/>
    </w:rPr>
  </w:style>
  <w:style w:type="character" w:customStyle="1" w:styleId="PidipaginaCarattere">
    <w:name w:val="Piè di pagina Carattere"/>
    <w:basedOn w:val="Carpredefinitoparagrafo"/>
    <w:link w:val="Pidipagina"/>
    <w:uiPriority w:val="99"/>
    <w:rsid w:val="00196DEB"/>
    <w:rPr>
      <w:sz w:val="24"/>
      <w:szCs w:val="24"/>
    </w:rPr>
  </w:style>
  <w:style w:type="paragraph" w:styleId="Testofumetto">
    <w:name w:val="Balloon Text"/>
    <w:basedOn w:val="Normale"/>
    <w:link w:val="TestofumettoCarattere"/>
    <w:uiPriority w:val="99"/>
    <w:unhideWhenUsed/>
    <w:rsid w:val="00196DEB"/>
    <w:rPr>
      <w:rFonts w:ascii="Tahoma" w:hAnsi="Tahoma" w:cs="Tahoma"/>
      <w:sz w:val="16"/>
      <w:szCs w:val="16"/>
    </w:rPr>
  </w:style>
  <w:style w:type="character" w:customStyle="1" w:styleId="TestofumettoCarattere">
    <w:name w:val="Testo fumetto Carattere"/>
    <w:basedOn w:val="Carpredefinitoparagrafo"/>
    <w:link w:val="Testofumetto"/>
    <w:uiPriority w:val="99"/>
    <w:rsid w:val="00196DEB"/>
    <w:rPr>
      <w:rFonts w:ascii="Tahoma" w:eastAsia="Times New Roman" w:hAnsi="Tahoma" w:cs="Tahoma"/>
      <w:sz w:val="16"/>
      <w:szCs w:val="16"/>
    </w:rPr>
  </w:style>
  <w:style w:type="paragraph" w:styleId="Revisione">
    <w:name w:val="Revision"/>
    <w:hidden/>
    <w:uiPriority w:val="99"/>
    <w:semiHidden/>
    <w:rsid w:val="00196DEB"/>
    <w:rPr>
      <w:rFonts w:ascii="Calibri" w:hAnsi="Calibri"/>
      <w:sz w:val="22"/>
      <w:szCs w:val="22"/>
    </w:rPr>
  </w:style>
  <w:style w:type="table" w:styleId="Grigliatabella">
    <w:name w:val="Table Grid"/>
    <w:basedOn w:val="Tabellanormale"/>
    <w:uiPriority w:val="59"/>
    <w:rsid w:val="00196DE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F461C"/>
    <w:rPr>
      <w:sz w:val="24"/>
      <w:szCs w:val="24"/>
    </w:rPr>
  </w:style>
  <w:style w:type="paragraph" w:styleId="Titolo3">
    <w:name w:val="heading 3"/>
    <w:basedOn w:val="Normale"/>
    <w:next w:val="Normale"/>
    <w:link w:val="Titolo3Carattere"/>
    <w:semiHidden/>
    <w:unhideWhenUsed/>
    <w:qFormat/>
    <w:rsid w:val="00A72D03"/>
    <w:pPr>
      <w:keepNext/>
      <w:jc w:val="right"/>
      <w:outlineLvl w:val="2"/>
    </w:pPr>
    <w:rPr>
      <w:rFonts w:ascii="Arial" w:hAnsi="Arial"/>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1"/>
    <w:semiHidden/>
    <w:rsid w:val="00BF461C"/>
    <w:pPr>
      <w:spacing w:line="480" w:lineRule="auto"/>
      <w:jc w:val="center"/>
    </w:pPr>
    <w:rPr>
      <w:b/>
      <w:bCs/>
    </w:rPr>
  </w:style>
  <w:style w:type="character" w:customStyle="1" w:styleId="CorpotestoCarattere1">
    <w:name w:val="Corpo testo Carattere1"/>
    <w:basedOn w:val="Carpredefinitoparagrafo"/>
    <w:link w:val="Corpotesto"/>
    <w:semiHidden/>
    <w:rsid w:val="00BF461C"/>
    <w:rPr>
      <w:b/>
      <w:bCs/>
      <w:sz w:val="24"/>
      <w:szCs w:val="24"/>
      <w:lang w:val="it-IT" w:eastAsia="it-IT" w:bidi="ar-SA"/>
    </w:rPr>
  </w:style>
  <w:style w:type="paragraph" w:styleId="Pidipagina">
    <w:name w:val="footer"/>
    <w:basedOn w:val="Normale"/>
    <w:link w:val="PidipaginaCarattere"/>
    <w:uiPriority w:val="99"/>
    <w:rsid w:val="00BF461C"/>
    <w:pPr>
      <w:tabs>
        <w:tab w:val="center" w:pos="4819"/>
        <w:tab w:val="right" w:pos="9638"/>
      </w:tabs>
    </w:pPr>
  </w:style>
  <w:style w:type="character" w:styleId="Numeropagina">
    <w:name w:val="page number"/>
    <w:basedOn w:val="Carpredefinitoparagrafo"/>
    <w:rsid w:val="00BF461C"/>
  </w:style>
  <w:style w:type="paragraph" w:customStyle="1" w:styleId="TestoGrassetto">
    <w:name w:val="Testo Grassetto"/>
    <w:rsid w:val="00D67A1A"/>
    <w:pPr>
      <w:jc w:val="center"/>
    </w:pPr>
    <w:rPr>
      <w:b/>
      <w:noProof/>
      <w:sz w:val="24"/>
    </w:rPr>
  </w:style>
  <w:style w:type="paragraph" w:styleId="Intestazione">
    <w:name w:val="header"/>
    <w:basedOn w:val="Normale"/>
    <w:link w:val="IntestazioneCarattere"/>
    <w:uiPriority w:val="99"/>
    <w:rsid w:val="00D40695"/>
    <w:pPr>
      <w:tabs>
        <w:tab w:val="center" w:pos="4819"/>
        <w:tab w:val="right" w:pos="9638"/>
      </w:tabs>
    </w:pPr>
  </w:style>
  <w:style w:type="character" w:customStyle="1" w:styleId="Titolo3Carattere">
    <w:name w:val="Titolo 3 Carattere"/>
    <w:basedOn w:val="Carpredefinitoparagrafo"/>
    <w:link w:val="Titolo3"/>
    <w:semiHidden/>
    <w:rsid w:val="00A72D03"/>
    <w:rPr>
      <w:rFonts w:ascii="Arial" w:hAnsi="Arial"/>
      <w:b/>
      <w:sz w:val="24"/>
    </w:rPr>
  </w:style>
  <w:style w:type="paragraph" w:styleId="Paragrafoelenco">
    <w:name w:val="List Paragraph"/>
    <w:basedOn w:val="Normale"/>
    <w:uiPriority w:val="34"/>
    <w:qFormat/>
    <w:rsid w:val="00A72D03"/>
    <w:pPr>
      <w:spacing w:after="200" w:line="276" w:lineRule="auto"/>
      <w:ind w:left="720"/>
      <w:contextualSpacing/>
    </w:pPr>
    <w:rPr>
      <w:rFonts w:ascii="Calibri" w:hAnsi="Calibri"/>
      <w:sz w:val="22"/>
      <w:szCs w:val="22"/>
    </w:rPr>
  </w:style>
  <w:style w:type="paragraph" w:styleId="NormaleWeb">
    <w:name w:val="Normal (Web)"/>
    <w:uiPriority w:val="99"/>
    <w:rsid w:val="00A72D03"/>
    <w:pPr>
      <w:pBdr>
        <w:top w:val="nil"/>
        <w:left w:val="nil"/>
        <w:bottom w:val="nil"/>
        <w:right w:val="nil"/>
        <w:between w:val="nil"/>
        <w:bar w:val="nil"/>
      </w:pBdr>
      <w:spacing w:before="100" w:after="100"/>
    </w:pPr>
    <w:rPr>
      <w:rFonts w:eastAsia="Arial Unicode MS" w:cs="Arial Unicode MS"/>
      <w:color w:val="000000"/>
      <w:sz w:val="24"/>
      <w:szCs w:val="24"/>
      <w:u w:color="000000"/>
      <w:bdr w:val="nil"/>
    </w:rPr>
  </w:style>
  <w:style w:type="paragraph" w:customStyle="1" w:styleId="a">
    <w:basedOn w:val="Normale"/>
    <w:next w:val="Corpotesto"/>
    <w:link w:val="CorpotestoCarattere"/>
    <w:rsid w:val="00E7457A"/>
    <w:pPr>
      <w:spacing w:line="480" w:lineRule="auto"/>
      <w:jc w:val="center"/>
    </w:pPr>
    <w:rPr>
      <w:b/>
      <w:bCs/>
    </w:rPr>
  </w:style>
  <w:style w:type="character" w:customStyle="1" w:styleId="CorpotestoCarattere">
    <w:name w:val="Corpo testo Carattere"/>
    <w:link w:val="a"/>
    <w:semiHidden/>
    <w:rsid w:val="00E7457A"/>
    <w:rPr>
      <w:b/>
      <w:bCs/>
      <w:sz w:val="24"/>
      <w:szCs w:val="24"/>
      <w:lang w:val="it-IT" w:eastAsia="it-IT" w:bidi="ar-SA"/>
    </w:rPr>
  </w:style>
  <w:style w:type="character" w:customStyle="1" w:styleId="IntestazioneCarattere">
    <w:name w:val="Intestazione Carattere"/>
    <w:basedOn w:val="Carpredefinitoparagrafo"/>
    <w:link w:val="Intestazione"/>
    <w:uiPriority w:val="99"/>
    <w:rsid w:val="00196DEB"/>
    <w:rPr>
      <w:sz w:val="24"/>
      <w:szCs w:val="24"/>
    </w:rPr>
  </w:style>
  <w:style w:type="character" w:customStyle="1" w:styleId="PidipaginaCarattere">
    <w:name w:val="Piè di pagina Carattere"/>
    <w:basedOn w:val="Carpredefinitoparagrafo"/>
    <w:link w:val="Pidipagina"/>
    <w:uiPriority w:val="99"/>
    <w:rsid w:val="00196DEB"/>
    <w:rPr>
      <w:sz w:val="24"/>
      <w:szCs w:val="24"/>
    </w:rPr>
  </w:style>
  <w:style w:type="paragraph" w:styleId="Testofumetto">
    <w:name w:val="Balloon Text"/>
    <w:basedOn w:val="Normale"/>
    <w:link w:val="TestofumettoCarattere"/>
    <w:uiPriority w:val="99"/>
    <w:unhideWhenUsed/>
    <w:rsid w:val="00196DEB"/>
    <w:rPr>
      <w:rFonts w:ascii="Tahoma" w:hAnsi="Tahoma" w:cs="Tahoma"/>
      <w:sz w:val="16"/>
      <w:szCs w:val="16"/>
    </w:rPr>
  </w:style>
  <w:style w:type="character" w:customStyle="1" w:styleId="TestofumettoCarattere">
    <w:name w:val="Testo fumetto Carattere"/>
    <w:basedOn w:val="Carpredefinitoparagrafo"/>
    <w:link w:val="Testofumetto"/>
    <w:uiPriority w:val="99"/>
    <w:rsid w:val="00196DEB"/>
    <w:rPr>
      <w:rFonts w:ascii="Tahoma" w:eastAsia="Times New Roman" w:hAnsi="Tahoma" w:cs="Tahoma"/>
      <w:sz w:val="16"/>
      <w:szCs w:val="16"/>
    </w:rPr>
  </w:style>
  <w:style w:type="paragraph" w:styleId="Revisione">
    <w:name w:val="Revision"/>
    <w:hidden/>
    <w:uiPriority w:val="99"/>
    <w:semiHidden/>
    <w:rsid w:val="00196DEB"/>
    <w:rPr>
      <w:rFonts w:ascii="Calibri" w:hAnsi="Calibri"/>
      <w:sz w:val="22"/>
      <w:szCs w:val="22"/>
    </w:rPr>
  </w:style>
  <w:style w:type="table" w:styleId="Grigliatabella">
    <w:name w:val="Table Grid"/>
    <w:basedOn w:val="Tabellanormale"/>
    <w:uiPriority w:val="59"/>
    <w:rsid w:val="00196DEB"/>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46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package" Target="embeddings/Foglio_di_lavoro_di_Microsoft_Excel1.xlsx"/><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oleObject" Target="embeddings/Foglio_di_lavoro_di_Microsoft_Excel_97-20032.xls"/><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oleObject" Target="embeddings/Foglio_di_lavoro_di_Microsoft_Excel_97-20034.xls"/><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oleObject" Target="embeddings/Foglio_di_lavoro_di_Microsoft_Excel_97-20031.xls"/><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Foglio_di_lavoro_di_Microsoft_Excel_97-20033.xls"/><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A1A5A-D22F-419A-B914-DF2366F86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2511</Words>
  <Characters>14316</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D45657</dc:creator>
  <cp:lastModifiedBy>operatore</cp:lastModifiedBy>
  <cp:revision>2</cp:revision>
  <cp:lastPrinted>2015-10-21T07:51:00Z</cp:lastPrinted>
  <dcterms:created xsi:type="dcterms:W3CDTF">2021-06-22T09:43:00Z</dcterms:created>
  <dcterms:modified xsi:type="dcterms:W3CDTF">2021-06-22T09:43:00Z</dcterms:modified>
</cp:coreProperties>
</file>